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B89" w:rsidRDefault="00B40B89" w:rsidP="00E35AA0">
      <w:pPr>
        <w:jc w:val="center"/>
        <w:rPr>
          <w:rFonts w:asciiTheme="majorHAnsi" w:hAnsiTheme="majorHAnsi" w:cstheme="minorHAnsi"/>
          <w:b/>
          <w:sz w:val="28"/>
          <w:szCs w:val="22"/>
        </w:rPr>
      </w:pPr>
      <w:bookmarkStart w:id="0" w:name="_GoBack"/>
      <w:bookmarkEnd w:id="0"/>
      <w:r>
        <w:rPr>
          <w:rFonts w:ascii="Calibri" w:hAnsi="Calibri" w:cs="Calibri"/>
          <w:noProof/>
          <w:color w:val="43402E"/>
          <w:sz w:val="22"/>
          <w:szCs w:val="22"/>
        </w:rPr>
        <w:drawing>
          <wp:inline distT="0" distB="0" distL="0" distR="0">
            <wp:extent cx="3733800" cy="1047750"/>
            <wp:effectExtent l="0" t="0" r="0" b="0"/>
            <wp:docPr id="1" name="Picture 1" descr="Description: prx_no-tagline_logo_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rx_no-tagline_logo_m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1047750"/>
                    </a:xfrm>
                    <a:prstGeom prst="rect">
                      <a:avLst/>
                    </a:prstGeom>
                    <a:noFill/>
                    <a:ln>
                      <a:noFill/>
                    </a:ln>
                  </pic:spPr>
                </pic:pic>
              </a:graphicData>
            </a:graphic>
          </wp:inline>
        </w:drawing>
      </w:r>
    </w:p>
    <w:p w:rsidR="00E35AA0" w:rsidRPr="0046510C" w:rsidRDefault="0089232F" w:rsidP="00E35AA0">
      <w:pPr>
        <w:jc w:val="center"/>
        <w:rPr>
          <w:rFonts w:asciiTheme="majorHAnsi" w:hAnsiTheme="majorHAnsi" w:cstheme="minorHAnsi"/>
          <w:b/>
          <w:sz w:val="28"/>
          <w:szCs w:val="22"/>
        </w:rPr>
      </w:pPr>
      <w:r>
        <w:rPr>
          <w:rFonts w:asciiTheme="majorHAnsi" w:hAnsiTheme="majorHAnsi" w:cstheme="minorHAnsi"/>
          <w:b/>
          <w:sz w:val="28"/>
          <w:szCs w:val="22"/>
        </w:rPr>
        <w:t>Benign Prostatic Hyperplasia (BPH)</w:t>
      </w:r>
    </w:p>
    <w:p w:rsidR="00CA2651" w:rsidRPr="0046510C" w:rsidRDefault="00646584" w:rsidP="003350E7">
      <w:pPr>
        <w:jc w:val="center"/>
        <w:rPr>
          <w:rFonts w:asciiTheme="majorHAnsi" w:hAnsiTheme="majorHAnsi" w:cstheme="minorHAnsi"/>
          <w:sz w:val="22"/>
          <w:szCs w:val="22"/>
        </w:rPr>
      </w:pPr>
      <w:r w:rsidRPr="0046510C">
        <w:rPr>
          <w:rFonts w:asciiTheme="majorHAnsi" w:hAnsiTheme="majorHAnsi" w:cstheme="minorHAnsi"/>
          <w:sz w:val="22"/>
          <w:szCs w:val="22"/>
        </w:rPr>
        <w:t>Executive Summary</w:t>
      </w:r>
    </w:p>
    <w:p w:rsidR="00234E3E" w:rsidRPr="00031F67" w:rsidRDefault="00234E3E" w:rsidP="003350E7">
      <w:pPr>
        <w:jc w:val="center"/>
        <w:rPr>
          <w:rFonts w:asciiTheme="minorHAnsi" w:hAnsiTheme="minorHAnsi" w:cstheme="minorHAnsi"/>
          <w:sz w:val="22"/>
          <w:szCs w:val="22"/>
        </w:rPr>
      </w:pPr>
    </w:p>
    <w:p w:rsidR="00234E3E" w:rsidRPr="0046510C" w:rsidRDefault="0011561E" w:rsidP="0011561E">
      <w:pPr>
        <w:pBdr>
          <w:bottom w:val="single" w:sz="4" w:space="1" w:color="auto"/>
        </w:pBdr>
        <w:rPr>
          <w:rFonts w:asciiTheme="majorHAnsi" w:hAnsiTheme="majorHAnsi" w:cstheme="minorHAnsi"/>
          <w:b/>
          <w:sz w:val="22"/>
          <w:szCs w:val="22"/>
        </w:rPr>
      </w:pPr>
      <w:r w:rsidRPr="0046510C">
        <w:rPr>
          <w:rFonts w:asciiTheme="majorHAnsi" w:hAnsiTheme="majorHAnsi" w:cstheme="minorHAnsi"/>
          <w:b/>
          <w:sz w:val="22"/>
          <w:szCs w:val="22"/>
        </w:rPr>
        <w:t>CLASS OVERVIEW</w:t>
      </w:r>
    </w:p>
    <w:p w:rsidR="0089232F" w:rsidRPr="0089232F" w:rsidRDefault="0089232F" w:rsidP="0089232F">
      <w:pPr>
        <w:jc w:val="both"/>
        <w:rPr>
          <w:rFonts w:ascii="Calibri" w:hAnsi="Calibri" w:cs="Calibri"/>
          <w:sz w:val="22"/>
          <w:szCs w:val="22"/>
        </w:rPr>
      </w:pPr>
      <w:r w:rsidRPr="0089232F">
        <w:rPr>
          <w:rFonts w:ascii="Calibri" w:hAnsi="Calibri" w:cs="Calibri"/>
          <w:sz w:val="22"/>
          <w:szCs w:val="22"/>
        </w:rPr>
        <w:t>The treatment of benign prostatic hyperplasia (BPH) generally consists of 3 classes of drugs: alpha-1-adrenergic antagonists, 5-alpha reductase inhibitors (5-ARIs), and phosphodiesterase-5 (PDE-5) inhibitors. The primary treatment goal is to alleviate symptoms and, more recently, to alter disease progression and prevent complications.  Alpha-1-adrenergic antagonists are recommended as first-line and all are considered to have similar efficacy.  The most common side-effect is orthostatic hypotension with most agents requiring titration.  The 5-ARIs are considered second-line for those patients who cannot tolerate or who have inadequate responses to the alpha-1-adrenergic antagonists.  Patients with severe symptoms or inadequate responses to first- and second-line treatments are recommended to use combination therapies.  Lastly, phosphodiesterase-5 (PDE-5) inhibitors can be considered for those patients who have erectile dysfunction and mild-to-moderate symptoms of BPH. Choosing the correct pharmacologic treatment is highly dependent on patient preference.</w:t>
      </w:r>
    </w:p>
    <w:p w:rsidR="00242423" w:rsidRPr="009B057D" w:rsidRDefault="00242423" w:rsidP="00872769">
      <w:pPr>
        <w:jc w:val="both"/>
        <w:rPr>
          <w:rFonts w:ascii="Calibri" w:hAnsi="Calibri" w:cs="Calibri"/>
          <w:sz w:val="22"/>
          <w:szCs w:val="20"/>
        </w:rPr>
      </w:pPr>
    </w:p>
    <w:p w:rsidR="00234E3E" w:rsidRPr="0046510C" w:rsidRDefault="0011561E" w:rsidP="0011561E">
      <w:pPr>
        <w:pBdr>
          <w:bottom w:val="single" w:sz="4" w:space="1" w:color="auto"/>
        </w:pBdr>
        <w:rPr>
          <w:rFonts w:asciiTheme="majorHAnsi" w:hAnsiTheme="majorHAnsi" w:cstheme="minorHAnsi"/>
          <w:b/>
          <w:sz w:val="22"/>
          <w:szCs w:val="22"/>
        </w:rPr>
      </w:pPr>
      <w:r w:rsidRPr="0046510C">
        <w:rPr>
          <w:rFonts w:asciiTheme="majorHAnsi" w:hAnsiTheme="majorHAnsi" w:cstheme="minorHAnsi"/>
          <w:b/>
          <w:sz w:val="22"/>
          <w:szCs w:val="22"/>
        </w:rPr>
        <w:t>UTILIZATION FINDINGS</w:t>
      </w:r>
    </w:p>
    <w:p w:rsidR="000F2A3F" w:rsidRPr="00B50EDD" w:rsidRDefault="008A5923" w:rsidP="00B629A8">
      <w:pPr>
        <w:jc w:val="both"/>
        <w:rPr>
          <w:rFonts w:asciiTheme="minorHAnsi" w:hAnsiTheme="minorHAnsi" w:cstheme="minorHAnsi"/>
          <w:sz w:val="22"/>
          <w:szCs w:val="22"/>
        </w:rPr>
      </w:pPr>
      <w:r>
        <w:rPr>
          <w:rFonts w:asciiTheme="minorHAnsi" w:hAnsiTheme="minorHAnsi" w:cstheme="minorHAnsi"/>
          <w:sz w:val="22"/>
          <w:szCs w:val="22"/>
        </w:rPr>
        <w:t>Plan specific</w:t>
      </w:r>
    </w:p>
    <w:p w:rsidR="0015323B" w:rsidRPr="00031F67" w:rsidRDefault="0015323B" w:rsidP="00234E3E">
      <w:pPr>
        <w:rPr>
          <w:rFonts w:asciiTheme="minorHAnsi" w:hAnsiTheme="minorHAnsi" w:cstheme="minorHAnsi"/>
          <w:sz w:val="22"/>
          <w:szCs w:val="22"/>
        </w:rPr>
      </w:pPr>
    </w:p>
    <w:p w:rsidR="00B629A8" w:rsidRPr="0046510C" w:rsidRDefault="00234E3E" w:rsidP="00B629A8">
      <w:pPr>
        <w:pBdr>
          <w:bottom w:val="single" w:sz="4" w:space="1" w:color="auto"/>
        </w:pBdr>
        <w:rPr>
          <w:rFonts w:asciiTheme="majorHAnsi" w:hAnsiTheme="majorHAnsi" w:cstheme="minorHAnsi"/>
          <w:b/>
          <w:sz w:val="22"/>
          <w:szCs w:val="22"/>
        </w:rPr>
      </w:pPr>
      <w:r w:rsidRPr="0046510C">
        <w:rPr>
          <w:rFonts w:asciiTheme="majorHAnsi" w:hAnsiTheme="majorHAnsi" w:cstheme="minorHAnsi"/>
          <w:b/>
          <w:sz w:val="22"/>
          <w:szCs w:val="22"/>
        </w:rPr>
        <w:t>RECOMMENDATIONS</w:t>
      </w:r>
    </w:p>
    <w:p w:rsidR="007E6D31" w:rsidRPr="00031F67" w:rsidRDefault="008A5923" w:rsidP="005C7F65">
      <w:pPr>
        <w:rPr>
          <w:rFonts w:asciiTheme="minorHAnsi" w:hAnsiTheme="minorHAnsi" w:cstheme="minorHAnsi"/>
          <w:sz w:val="22"/>
          <w:szCs w:val="22"/>
        </w:rPr>
      </w:pPr>
      <w:r>
        <w:rPr>
          <w:rFonts w:asciiTheme="minorHAnsi" w:hAnsiTheme="minorHAnsi" w:cstheme="minorHAnsi"/>
          <w:sz w:val="22"/>
          <w:szCs w:val="22"/>
        </w:rPr>
        <w:t>Plan specific</w:t>
      </w:r>
    </w:p>
    <w:p w:rsidR="007E6D31" w:rsidRPr="00031F67" w:rsidRDefault="007E6D31" w:rsidP="005C7F65">
      <w:pPr>
        <w:rPr>
          <w:rFonts w:asciiTheme="minorHAnsi" w:hAnsiTheme="minorHAnsi" w:cstheme="minorHAnsi"/>
          <w:sz w:val="22"/>
          <w:szCs w:val="22"/>
        </w:rPr>
      </w:pPr>
    </w:p>
    <w:p w:rsidR="007E6D31" w:rsidRPr="00031F67" w:rsidRDefault="007E6D31" w:rsidP="005C7F65">
      <w:pPr>
        <w:rPr>
          <w:rFonts w:asciiTheme="minorHAnsi" w:hAnsiTheme="minorHAnsi" w:cstheme="minorHAnsi"/>
          <w:sz w:val="22"/>
          <w:szCs w:val="22"/>
        </w:rPr>
      </w:pPr>
    </w:p>
    <w:p w:rsidR="007E6D31" w:rsidRPr="00031F67" w:rsidRDefault="007E6D31" w:rsidP="005C7F65">
      <w:pPr>
        <w:rPr>
          <w:rFonts w:asciiTheme="minorHAnsi" w:hAnsiTheme="minorHAnsi" w:cstheme="minorHAnsi"/>
          <w:sz w:val="22"/>
          <w:szCs w:val="22"/>
        </w:rPr>
      </w:pPr>
    </w:p>
    <w:p w:rsidR="007E6D31" w:rsidRPr="00031F67" w:rsidRDefault="007E6D31" w:rsidP="005C7F65">
      <w:pPr>
        <w:rPr>
          <w:rFonts w:asciiTheme="minorHAnsi" w:hAnsiTheme="minorHAnsi" w:cstheme="minorHAnsi"/>
          <w:sz w:val="22"/>
          <w:szCs w:val="22"/>
        </w:rPr>
      </w:pPr>
    </w:p>
    <w:p w:rsidR="007E6D31" w:rsidRPr="00031F67" w:rsidRDefault="007E6D31" w:rsidP="005C7F65">
      <w:pPr>
        <w:rPr>
          <w:rFonts w:asciiTheme="minorHAnsi" w:hAnsiTheme="minorHAnsi" w:cstheme="minorHAnsi"/>
          <w:sz w:val="22"/>
          <w:szCs w:val="22"/>
        </w:rPr>
      </w:pPr>
    </w:p>
    <w:p w:rsidR="007E6D31" w:rsidRPr="00031F67" w:rsidRDefault="007E6D31" w:rsidP="005C7F65">
      <w:pPr>
        <w:rPr>
          <w:rFonts w:asciiTheme="minorHAnsi" w:hAnsiTheme="minorHAnsi" w:cstheme="minorHAnsi"/>
          <w:sz w:val="22"/>
          <w:szCs w:val="22"/>
        </w:rPr>
      </w:pPr>
    </w:p>
    <w:p w:rsidR="007E6D31" w:rsidRPr="00031F67" w:rsidRDefault="007E6D31" w:rsidP="005C7F65">
      <w:pPr>
        <w:rPr>
          <w:rFonts w:asciiTheme="minorHAnsi" w:hAnsiTheme="minorHAnsi" w:cstheme="minorHAnsi"/>
          <w:sz w:val="22"/>
          <w:szCs w:val="22"/>
        </w:rPr>
      </w:pPr>
    </w:p>
    <w:p w:rsidR="007E6D31" w:rsidRDefault="007E6D31" w:rsidP="005C7F65">
      <w:pPr>
        <w:rPr>
          <w:rFonts w:asciiTheme="minorHAnsi" w:hAnsiTheme="minorHAnsi" w:cstheme="minorHAnsi"/>
          <w:sz w:val="22"/>
          <w:szCs w:val="22"/>
        </w:rPr>
      </w:pPr>
    </w:p>
    <w:p w:rsidR="0046510C" w:rsidRDefault="0046510C" w:rsidP="005C7F65">
      <w:pPr>
        <w:rPr>
          <w:rFonts w:asciiTheme="minorHAnsi" w:hAnsiTheme="minorHAnsi" w:cstheme="minorHAnsi"/>
          <w:sz w:val="22"/>
          <w:szCs w:val="22"/>
        </w:rPr>
      </w:pPr>
    </w:p>
    <w:p w:rsidR="0046510C" w:rsidRDefault="0046510C" w:rsidP="005C7F65">
      <w:pPr>
        <w:rPr>
          <w:rFonts w:asciiTheme="minorHAnsi" w:hAnsiTheme="minorHAnsi" w:cstheme="minorHAnsi"/>
          <w:sz w:val="22"/>
          <w:szCs w:val="22"/>
        </w:rPr>
      </w:pPr>
    </w:p>
    <w:p w:rsidR="00B40B89" w:rsidRDefault="00B40B89" w:rsidP="005C7F65">
      <w:pPr>
        <w:rPr>
          <w:rFonts w:asciiTheme="minorHAnsi" w:hAnsiTheme="minorHAnsi" w:cstheme="minorHAnsi"/>
          <w:sz w:val="22"/>
          <w:szCs w:val="22"/>
        </w:rPr>
      </w:pPr>
    </w:p>
    <w:p w:rsidR="00B40B89" w:rsidRDefault="00B40B89" w:rsidP="005C7F65">
      <w:pPr>
        <w:rPr>
          <w:rFonts w:asciiTheme="minorHAnsi" w:hAnsiTheme="minorHAnsi" w:cstheme="minorHAnsi"/>
          <w:sz w:val="22"/>
          <w:szCs w:val="22"/>
        </w:rPr>
      </w:pPr>
    </w:p>
    <w:p w:rsidR="008A5923" w:rsidRDefault="008A5923" w:rsidP="005C7F65">
      <w:pPr>
        <w:rPr>
          <w:rFonts w:asciiTheme="minorHAnsi" w:hAnsiTheme="minorHAnsi" w:cstheme="minorHAnsi"/>
          <w:sz w:val="22"/>
          <w:szCs w:val="22"/>
        </w:rPr>
      </w:pPr>
    </w:p>
    <w:p w:rsidR="008A5923" w:rsidRDefault="008A5923" w:rsidP="005C7F65">
      <w:pPr>
        <w:rPr>
          <w:rFonts w:asciiTheme="minorHAnsi" w:hAnsiTheme="minorHAnsi" w:cstheme="minorHAnsi"/>
          <w:sz w:val="22"/>
          <w:szCs w:val="22"/>
        </w:rPr>
      </w:pPr>
    </w:p>
    <w:p w:rsidR="008A5923" w:rsidRDefault="008A5923" w:rsidP="005C7F65">
      <w:pPr>
        <w:rPr>
          <w:rFonts w:asciiTheme="minorHAnsi" w:hAnsiTheme="minorHAnsi" w:cstheme="minorHAnsi"/>
          <w:sz w:val="22"/>
          <w:szCs w:val="22"/>
        </w:rPr>
      </w:pPr>
    </w:p>
    <w:p w:rsidR="008A5923" w:rsidRDefault="008A5923" w:rsidP="005C7F65">
      <w:pPr>
        <w:rPr>
          <w:rFonts w:asciiTheme="minorHAnsi" w:hAnsiTheme="minorHAnsi" w:cstheme="minorHAnsi"/>
          <w:sz w:val="22"/>
          <w:szCs w:val="22"/>
        </w:rPr>
      </w:pPr>
    </w:p>
    <w:p w:rsidR="008A5923" w:rsidRDefault="008A5923" w:rsidP="005C7F65">
      <w:pPr>
        <w:rPr>
          <w:rFonts w:asciiTheme="minorHAnsi" w:hAnsiTheme="minorHAnsi" w:cstheme="minorHAnsi"/>
          <w:sz w:val="22"/>
          <w:szCs w:val="22"/>
        </w:rPr>
      </w:pPr>
    </w:p>
    <w:p w:rsidR="008A5923" w:rsidRDefault="008A5923" w:rsidP="005C7F65">
      <w:pPr>
        <w:rPr>
          <w:rFonts w:asciiTheme="minorHAnsi" w:hAnsiTheme="minorHAnsi" w:cstheme="minorHAnsi"/>
          <w:sz w:val="22"/>
          <w:szCs w:val="22"/>
        </w:rPr>
      </w:pPr>
    </w:p>
    <w:p w:rsidR="00B40B89" w:rsidRDefault="00B40B89" w:rsidP="005C7F65">
      <w:pPr>
        <w:rPr>
          <w:rFonts w:asciiTheme="minorHAnsi" w:hAnsiTheme="minorHAnsi" w:cstheme="minorHAnsi"/>
          <w:sz w:val="22"/>
          <w:szCs w:val="22"/>
        </w:rPr>
      </w:pPr>
    </w:p>
    <w:p w:rsidR="00B40B89" w:rsidRDefault="00B40B89" w:rsidP="005C7F65">
      <w:pPr>
        <w:rPr>
          <w:rFonts w:asciiTheme="minorHAnsi" w:hAnsiTheme="minorHAnsi" w:cstheme="minorHAnsi"/>
          <w:sz w:val="22"/>
          <w:szCs w:val="22"/>
        </w:rPr>
      </w:pPr>
    </w:p>
    <w:p w:rsidR="00B40B89" w:rsidRDefault="00B40B89" w:rsidP="005C7F65">
      <w:pPr>
        <w:rPr>
          <w:rFonts w:asciiTheme="minorHAnsi" w:hAnsiTheme="minorHAnsi" w:cstheme="minorHAnsi"/>
          <w:sz w:val="22"/>
          <w:szCs w:val="22"/>
        </w:rPr>
      </w:pPr>
    </w:p>
    <w:p w:rsidR="00B40B89" w:rsidRDefault="00B40B89" w:rsidP="005C7F65">
      <w:pPr>
        <w:rPr>
          <w:rFonts w:asciiTheme="minorHAnsi" w:hAnsiTheme="minorHAnsi" w:cstheme="minorHAnsi"/>
          <w:sz w:val="22"/>
          <w:szCs w:val="22"/>
        </w:rPr>
      </w:pPr>
    </w:p>
    <w:p w:rsidR="00B40B89" w:rsidRDefault="00B40B89" w:rsidP="005C7F65">
      <w:pPr>
        <w:rPr>
          <w:rFonts w:asciiTheme="minorHAnsi" w:hAnsiTheme="minorHAnsi" w:cstheme="minorHAnsi"/>
          <w:sz w:val="22"/>
          <w:szCs w:val="22"/>
        </w:rPr>
      </w:pPr>
    </w:p>
    <w:p w:rsidR="00C67AA9" w:rsidRPr="0046510C" w:rsidRDefault="00C67AA9" w:rsidP="00C67AA9">
      <w:pPr>
        <w:jc w:val="center"/>
        <w:rPr>
          <w:rFonts w:asciiTheme="majorHAnsi" w:hAnsiTheme="majorHAnsi" w:cstheme="minorHAnsi"/>
          <w:b/>
          <w:sz w:val="28"/>
          <w:szCs w:val="22"/>
        </w:rPr>
      </w:pPr>
      <w:r>
        <w:rPr>
          <w:rFonts w:asciiTheme="majorHAnsi" w:hAnsiTheme="majorHAnsi" w:cstheme="minorHAnsi"/>
          <w:b/>
          <w:sz w:val="28"/>
          <w:szCs w:val="22"/>
        </w:rPr>
        <w:lastRenderedPageBreak/>
        <w:t>Benign Prostatic Hyperplasia (BPH)</w:t>
      </w:r>
    </w:p>
    <w:p w:rsidR="00234E3E" w:rsidRPr="0046510C" w:rsidRDefault="00234E3E" w:rsidP="00234E3E">
      <w:pPr>
        <w:jc w:val="center"/>
        <w:rPr>
          <w:rFonts w:asciiTheme="majorHAnsi" w:hAnsiTheme="majorHAnsi" w:cstheme="minorHAnsi"/>
          <w:b/>
          <w:sz w:val="22"/>
          <w:szCs w:val="22"/>
        </w:rPr>
      </w:pPr>
      <w:r w:rsidRPr="0046510C">
        <w:rPr>
          <w:rFonts w:asciiTheme="majorHAnsi" w:hAnsiTheme="majorHAnsi" w:cstheme="minorHAnsi"/>
          <w:b/>
          <w:sz w:val="22"/>
          <w:szCs w:val="22"/>
        </w:rPr>
        <w:t>Therapeutic Class Review</w:t>
      </w:r>
    </w:p>
    <w:p w:rsidR="0068490D" w:rsidRPr="00031F67" w:rsidRDefault="0068490D" w:rsidP="00234E3E">
      <w:pPr>
        <w:jc w:val="center"/>
        <w:rPr>
          <w:rFonts w:asciiTheme="minorHAnsi" w:hAnsiTheme="minorHAnsi" w:cstheme="minorHAnsi"/>
          <w:b/>
          <w:sz w:val="22"/>
          <w:szCs w:val="22"/>
        </w:rPr>
      </w:pPr>
    </w:p>
    <w:p w:rsidR="00C22CDB" w:rsidRPr="0046510C" w:rsidRDefault="00AD47C6" w:rsidP="00756BB7">
      <w:pPr>
        <w:pBdr>
          <w:bottom w:val="single" w:sz="4" w:space="1" w:color="auto"/>
        </w:pBdr>
        <w:rPr>
          <w:rFonts w:asciiTheme="majorHAnsi" w:hAnsiTheme="majorHAnsi" w:cstheme="minorHAnsi"/>
          <w:b/>
          <w:sz w:val="22"/>
          <w:szCs w:val="22"/>
        </w:rPr>
      </w:pPr>
      <w:r w:rsidRPr="0046510C">
        <w:rPr>
          <w:rFonts w:asciiTheme="majorHAnsi" w:hAnsiTheme="majorHAnsi" w:cstheme="minorHAnsi"/>
          <w:b/>
          <w:sz w:val="22"/>
          <w:szCs w:val="22"/>
        </w:rPr>
        <w:t xml:space="preserve">PRODUCT TABLE </w:t>
      </w:r>
    </w:p>
    <w:p w:rsidR="00AD47C6" w:rsidRPr="00031F67" w:rsidRDefault="00AD47C6" w:rsidP="00AD47C6">
      <w:pPr>
        <w:rPr>
          <w:rFonts w:asciiTheme="minorHAnsi" w:hAnsiTheme="minorHAnsi" w:cstheme="minorHAnsi"/>
          <w:sz w:val="22"/>
          <w:szCs w:val="22"/>
        </w:rPr>
      </w:pPr>
    </w:p>
    <w:tbl>
      <w:tblPr>
        <w:tblW w:w="3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3163"/>
        <w:gridCol w:w="812"/>
        <w:gridCol w:w="1105"/>
        <w:gridCol w:w="1968"/>
      </w:tblGrid>
      <w:tr w:rsidR="00AC3466" w:rsidRPr="00031F67" w:rsidTr="00AC3466">
        <w:trPr>
          <w:trHeight w:val="125"/>
          <w:tblHeader/>
          <w:jc w:val="center"/>
        </w:trPr>
        <w:tc>
          <w:tcPr>
            <w:tcW w:w="523" w:type="pct"/>
            <w:shd w:val="clear" w:color="auto" w:fill="7E0000"/>
            <w:vAlign w:val="center"/>
          </w:tcPr>
          <w:p w:rsidR="00AC3466" w:rsidRPr="009346F5" w:rsidRDefault="00AC3466" w:rsidP="00242423">
            <w:pPr>
              <w:spacing w:before="40" w:after="40"/>
              <w:jc w:val="center"/>
              <w:rPr>
                <w:rFonts w:ascii="Calibri" w:hAnsi="Calibri" w:cs="Calibri"/>
                <w:b/>
                <w:sz w:val="22"/>
                <w:szCs w:val="22"/>
              </w:rPr>
            </w:pPr>
            <w:r w:rsidRPr="009346F5">
              <w:rPr>
                <w:rFonts w:ascii="Calibri" w:hAnsi="Calibri" w:cs="Calibri"/>
                <w:b/>
                <w:sz w:val="22"/>
                <w:szCs w:val="22"/>
              </w:rPr>
              <w:t>GCN</w:t>
            </w:r>
          </w:p>
        </w:tc>
        <w:tc>
          <w:tcPr>
            <w:tcW w:w="2009" w:type="pct"/>
            <w:shd w:val="clear" w:color="auto" w:fill="7E0000"/>
            <w:vAlign w:val="center"/>
          </w:tcPr>
          <w:p w:rsidR="00AC3466" w:rsidRPr="009346F5" w:rsidRDefault="00AC3466" w:rsidP="00242423">
            <w:pPr>
              <w:spacing w:before="40" w:after="40"/>
              <w:rPr>
                <w:rFonts w:ascii="Calibri" w:hAnsi="Calibri" w:cs="Calibri"/>
                <w:b/>
                <w:sz w:val="22"/>
                <w:szCs w:val="22"/>
              </w:rPr>
            </w:pPr>
            <w:r w:rsidRPr="009346F5">
              <w:rPr>
                <w:rFonts w:ascii="Calibri" w:hAnsi="Calibri" w:cs="Calibri"/>
                <w:b/>
                <w:sz w:val="22"/>
                <w:szCs w:val="22"/>
              </w:rPr>
              <w:t>Medication</w:t>
            </w:r>
          </w:p>
        </w:tc>
        <w:tc>
          <w:tcPr>
            <w:tcW w:w="516" w:type="pct"/>
            <w:shd w:val="clear" w:color="auto" w:fill="7E0000"/>
            <w:vAlign w:val="center"/>
          </w:tcPr>
          <w:p w:rsidR="00AC3466" w:rsidRPr="009346F5" w:rsidRDefault="00AC3466" w:rsidP="00242423">
            <w:pPr>
              <w:spacing w:before="40" w:after="40"/>
              <w:jc w:val="center"/>
              <w:rPr>
                <w:rFonts w:ascii="Calibri" w:hAnsi="Calibri" w:cs="Calibri"/>
                <w:b/>
                <w:sz w:val="22"/>
                <w:szCs w:val="22"/>
              </w:rPr>
            </w:pPr>
            <w:r>
              <w:rPr>
                <w:rFonts w:ascii="Calibri" w:hAnsi="Calibri" w:cs="Calibri"/>
                <w:b/>
                <w:sz w:val="22"/>
                <w:szCs w:val="22"/>
              </w:rPr>
              <w:t>Rx</w:t>
            </w:r>
          </w:p>
        </w:tc>
        <w:tc>
          <w:tcPr>
            <w:tcW w:w="702" w:type="pct"/>
            <w:shd w:val="clear" w:color="auto" w:fill="7E0000"/>
            <w:vAlign w:val="center"/>
          </w:tcPr>
          <w:p w:rsidR="00AC3466" w:rsidRPr="009346F5" w:rsidRDefault="00AC3466" w:rsidP="00242423">
            <w:pPr>
              <w:spacing w:before="40" w:after="40"/>
              <w:jc w:val="center"/>
              <w:rPr>
                <w:rFonts w:ascii="Calibri" w:hAnsi="Calibri" w:cs="Calibri"/>
                <w:b/>
                <w:sz w:val="22"/>
                <w:szCs w:val="22"/>
              </w:rPr>
            </w:pPr>
            <w:r w:rsidRPr="009346F5">
              <w:rPr>
                <w:rFonts w:ascii="Calibri" w:hAnsi="Calibri" w:cs="Calibri"/>
                <w:b/>
                <w:sz w:val="22"/>
                <w:szCs w:val="22"/>
              </w:rPr>
              <w:t>Current Status</w:t>
            </w:r>
          </w:p>
        </w:tc>
        <w:tc>
          <w:tcPr>
            <w:tcW w:w="1250" w:type="pct"/>
            <w:shd w:val="clear" w:color="auto" w:fill="7E0000"/>
          </w:tcPr>
          <w:p w:rsidR="00AC3466" w:rsidRPr="009346F5" w:rsidRDefault="00AC3466" w:rsidP="00242423">
            <w:pPr>
              <w:spacing w:before="40" w:after="40"/>
              <w:jc w:val="center"/>
              <w:rPr>
                <w:rFonts w:ascii="Calibri" w:hAnsi="Calibri" w:cs="Calibri"/>
                <w:b/>
                <w:sz w:val="22"/>
                <w:szCs w:val="22"/>
              </w:rPr>
            </w:pPr>
            <w:r>
              <w:rPr>
                <w:rFonts w:ascii="Calibri" w:hAnsi="Calibri" w:cs="Calibri"/>
                <w:b/>
                <w:sz w:val="22"/>
                <w:szCs w:val="22"/>
              </w:rPr>
              <w:t>Recommendation</w:t>
            </w:r>
          </w:p>
        </w:tc>
      </w:tr>
      <w:tr w:rsidR="00AC3466" w:rsidRPr="00031F67" w:rsidTr="00AC3466">
        <w:trPr>
          <w:trHeight w:val="268"/>
          <w:jc w:val="center"/>
        </w:trPr>
        <w:tc>
          <w:tcPr>
            <w:tcW w:w="523" w:type="pct"/>
            <w:shd w:val="clear" w:color="auto" w:fill="auto"/>
            <w:vAlign w:val="center"/>
          </w:tcPr>
          <w:p w:rsidR="00AC3466" w:rsidRPr="00BB03CF" w:rsidRDefault="00AC3466" w:rsidP="00C56A50">
            <w:pPr>
              <w:rPr>
                <w:rFonts w:ascii="Calibri" w:hAnsi="Calibri" w:cs="Calibri"/>
                <w:color w:val="000000"/>
                <w:sz w:val="22"/>
                <w:szCs w:val="22"/>
              </w:rPr>
            </w:pPr>
            <w:r>
              <w:rPr>
                <w:rFonts w:ascii="Calibri" w:hAnsi="Calibri" w:cs="Calibri"/>
                <w:color w:val="000000"/>
                <w:sz w:val="22"/>
                <w:szCs w:val="22"/>
              </w:rPr>
              <w:t>92024</w:t>
            </w:r>
          </w:p>
        </w:tc>
        <w:tc>
          <w:tcPr>
            <w:tcW w:w="2009" w:type="pct"/>
            <w:shd w:val="clear" w:color="auto" w:fill="auto"/>
            <w:vAlign w:val="center"/>
          </w:tcPr>
          <w:p w:rsidR="00AC3466" w:rsidRPr="00BB03CF" w:rsidRDefault="00AC3466" w:rsidP="00C56A50">
            <w:pPr>
              <w:rPr>
                <w:rFonts w:ascii="Calibri" w:hAnsi="Calibri" w:cs="Calibri"/>
                <w:color w:val="000000"/>
                <w:sz w:val="22"/>
                <w:szCs w:val="22"/>
              </w:rPr>
            </w:pPr>
            <w:r>
              <w:rPr>
                <w:rFonts w:ascii="Calibri" w:hAnsi="Calibri" w:cs="Calibri"/>
                <w:color w:val="000000"/>
                <w:sz w:val="22"/>
                <w:szCs w:val="22"/>
              </w:rPr>
              <w:t>alfuzosin (Uroxatral®) 10 mg ER tab</w:t>
            </w:r>
          </w:p>
        </w:tc>
        <w:tc>
          <w:tcPr>
            <w:tcW w:w="516" w:type="pct"/>
            <w:shd w:val="clear" w:color="auto" w:fill="auto"/>
            <w:vAlign w:val="center"/>
          </w:tcPr>
          <w:p w:rsidR="00AC3466" w:rsidRPr="00031F67" w:rsidRDefault="00AC3466" w:rsidP="009346F5">
            <w:pPr>
              <w:jc w:val="center"/>
              <w:rPr>
                <w:rFonts w:asciiTheme="minorHAnsi" w:hAnsiTheme="minorHAnsi" w:cstheme="minorHAnsi"/>
                <w:sz w:val="22"/>
                <w:szCs w:val="22"/>
              </w:rPr>
            </w:pPr>
          </w:p>
        </w:tc>
        <w:tc>
          <w:tcPr>
            <w:tcW w:w="702" w:type="pct"/>
            <w:shd w:val="clear" w:color="auto" w:fill="auto"/>
            <w:vAlign w:val="center"/>
          </w:tcPr>
          <w:p w:rsidR="00AC3466" w:rsidRPr="00031F67" w:rsidRDefault="00AC3466" w:rsidP="009346F5">
            <w:pPr>
              <w:spacing w:before="10" w:after="10"/>
              <w:jc w:val="center"/>
              <w:rPr>
                <w:rFonts w:asciiTheme="minorHAnsi" w:hAnsiTheme="minorHAnsi" w:cstheme="minorHAnsi"/>
                <w:sz w:val="22"/>
                <w:szCs w:val="22"/>
              </w:rPr>
            </w:pPr>
          </w:p>
        </w:tc>
        <w:tc>
          <w:tcPr>
            <w:tcW w:w="1250" w:type="pct"/>
            <w:vAlign w:val="center"/>
          </w:tcPr>
          <w:p w:rsidR="00AC3466" w:rsidRPr="00031F67" w:rsidRDefault="00AC3466" w:rsidP="00B50EDD">
            <w:pPr>
              <w:spacing w:before="20" w:after="20"/>
              <w:jc w:val="center"/>
              <w:rPr>
                <w:rFonts w:asciiTheme="minorHAnsi" w:hAnsiTheme="minorHAnsi" w:cstheme="minorHAnsi"/>
                <w:sz w:val="22"/>
                <w:szCs w:val="22"/>
              </w:rPr>
            </w:pPr>
          </w:p>
        </w:tc>
      </w:tr>
      <w:tr w:rsidR="00AC3466" w:rsidRPr="00031F67" w:rsidTr="00AC3466">
        <w:trPr>
          <w:trHeight w:val="268"/>
          <w:jc w:val="center"/>
        </w:trPr>
        <w:tc>
          <w:tcPr>
            <w:tcW w:w="523" w:type="pct"/>
            <w:shd w:val="clear" w:color="auto" w:fill="auto"/>
            <w:vAlign w:val="center"/>
          </w:tcPr>
          <w:p w:rsidR="00AC3466" w:rsidRDefault="00AC3466" w:rsidP="00C56A50">
            <w:pPr>
              <w:rPr>
                <w:rFonts w:ascii="Calibri" w:hAnsi="Calibri" w:cs="Calibri"/>
                <w:color w:val="000000"/>
                <w:sz w:val="22"/>
                <w:szCs w:val="22"/>
              </w:rPr>
            </w:pPr>
            <w:r>
              <w:rPr>
                <w:rFonts w:ascii="Calibri" w:hAnsi="Calibri" w:cs="Calibri"/>
                <w:color w:val="000000"/>
                <w:sz w:val="22"/>
                <w:szCs w:val="22"/>
              </w:rPr>
              <w:t>16857</w:t>
            </w:r>
          </w:p>
          <w:p w:rsidR="00AC3466" w:rsidRDefault="00AC3466" w:rsidP="00C56A50">
            <w:pPr>
              <w:rPr>
                <w:rFonts w:ascii="Calibri" w:hAnsi="Calibri" w:cs="Calibri"/>
                <w:color w:val="000000"/>
                <w:sz w:val="22"/>
                <w:szCs w:val="22"/>
              </w:rPr>
            </w:pPr>
            <w:r>
              <w:rPr>
                <w:rFonts w:ascii="Calibri" w:hAnsi="Calibri" w:cs="Calibri"/>
                <w:color w:val="000000"/>
                <w:sz w:val="22"/>
                <w:szCs w:val="22"/>
              </w:rPr>
              <w:t>16858</w:t>
            </w:r>
          </w:p>
        </w:tc>
        <w:tc>
          <w:tcPr>
            <w:tcW w:w="2009" w:type="pct"/>
            <w:shd w:val="clear" w:color="auto" w:fill="auto"/>
            <w:vAlign w:val="center"/>
          </w:tcPr>
          <w:p w:rsidR="00AC3466" w:rsidRDefault="00AC3466" w:rsidP="00C56A50">
            <w:pPr>
              <w:rPr>
                <w:rFonts w:ascii="Calibri" w:hAnsi="Calibri" w:cs="Calibri"/>
                <w:color w:val="000000"/>
                <w:sz w:val="22"/>
                <w:szCs w:val="22"/>
              </w:rPr>
            </w:pPr>
            <w:r>
              <w:rPr>
                <w:rFonts w:ascii="Calibri" w:hAnsi="Calibri" w:cs="Calibri"/>
                <w:color w:val="000000"/>
                <w:sz w:val="22"/>
                <w:szCs w:val="22"/>
              </w:rPr>
              <w:t>Rapaflo® (sildosin) 4, 8 mg cap</w:t>
            </w:r>
          </w:p>
        </w:tc>
        <w:tc>
          <w:tcPr>
            <w:tcW w:w="516" w:type="pct"/>
            <w:shd w:val="clear" w:color="auto" w:fill="auto"/>
            <w:vAlign w:val="center"/>
          </w:tcPr>
          <w:p w:rsidR="00AC3466" w:rsidRPr="00031F67" w:rsidRDefault="00AC3466" w:rsidP="009346F5">
            <w:pPr>
              <w:jc w:val="center"/>
              <w:rPr>
                <w:rFonts w:asciiTheme="minorHAnsi" w:hAnsiTheme="minorHAnsi" w:cstheme="minorHAnsi"/>
                <w:sz w:val="22"/>
                <w:szCs w:val="22"/>
              </w:rPr>
            </w:pPr>
          </w:p>
        </w:tc>
        <w:tc>
          <w:tcPr>
            <w:tcW w:w="702" w:type="pct"/>
            <w:shd w:val="clear" w:color="auto" w:fill="auto"/>
            <w:vAlign w:val="center"/>
          </w:tcPr>
          <w:p w:rsidR="00AC3466" w:rsidRPr="00031F67" w:rsidRDefault="00AC3466" w:rsidP="009346F5">
            <w:pPr>
              <w:spacing w:before="10" w:after="10"/>
              <w:jc w:val="center"/>
              <w:rPr>
                <w:rFonts w:asciiTheme="minorHAnsi" w:hAnsiTheme="minorHAnsi" w:cstheme="minorHAnsi"/>
                <w:sz w:val="22"/>
                <w:szCs w:val="22"/>
              </w:rPr>
            </w:pPr>
          </w:p>
        </w:tc>
        <w:tc>
          <w:tcPr>
            <w:tcW w:w="1250" w:type="pct"/>
            <w:vAlign w:val="center"/>
          </w:tcPr>
          <w:p w:rsidR="00AC3466" w:rsidRDefault="00AC3466" w:rsidP="00B50EDD">
            <w:pPr>
              <w:jc w:val="center"/>
            </w:pPr>
          </w:p>
        </w:tc>
      </w:tr>
      <w:tr w:rsidR="00AC3466" w:rsidRPr="00031F67" w:rsidTr="00AC3466">
        <w:trPr>
          <w:trHeight w:val="268"/>
          <w:jc w:val="center"/>
        </w:trPr>
        <w:tc>
          <w:tcPr>
            <w:tcW w:w="523" w:type="pct"/>
            <w:shd w:val="clear" w:color="auto" w:fill="auto"/>
          </w:tcPr>
          <w:p w:rsidR="00AC3466" w:rsidRDefault="00AC3466" w:rsidP="00C56A50">
            <w:pPr>
              <w:rPr>
                <w:rFonts w:ascii="Calibri" w:hAnsi="Calibri" w:cs="Calibri"/>
                <w:color w:val="000000"/>
                <w:sz w:val="22"/>
                <w:szCs w:val="22"/>
              </w:rPr>
            </w:pPr>
            <w:r>
              <w:rPr>
                <w:rFonts w:ascii="Calibri" w:hAnsi="Calibri" w:cs="Calibri"/>
                <w:color w:val="000000"/>
                <w:sz w:val="22"/>
                <w:szCs w:val="22"/>
              </w:rPr>
              <w:t>91985</w:t>
            </w:r>
          </w:p>
          <w:p w:rsidR="00AC3466" w:rsidRPr="009346F5" w:rsidRDefault="00AC3466" w:rsidP="00C56A50">
            <w:pPr>
              <w:rPr>
                <w:rFonts w:ascii="Calibri" w:hAnsi="Calibri" w:cs="Calibri"/>
                <w:color w:val="000000"/>
                <w:sz w:val="22"/>
                <w:szCs w:val="22"/>
              </w:rPr>
            </w:pPr>
            <w:r>
              <w:rPr>
                <w:rFonts w:ascii="Calibri" w:hAnsi="Calibri" w:cs="Calibri"/>
                <w:color w:val="000000"/>
                <w:sz w:val="22"/>
                <w:szCs w:val="22"/>
              </w:rPr>
              <w:t>84848</w:t>
            </w:r>
          </w:p>
        </w:tc>
        <w:tc>
          <w:tcPr>
            <w:tcW w:w="2009" w:type="pct"/>
            <w:shd w:val="clear" w:color="auto" w:fill="auto"/>
            <w:vAlign w:val="center"/>
          </w:tcPr>
          <w:p w:rsidR="00AC3466" w:rsidRPr="00414DD6" w:rsidRDefault="00AC3466" w:rsidP="00C56A50">
            <w:pPr>
              <w:rPr>
                <w:rFonts w:ascii="Calibri" w:hAnsi="Calibri" w:cs="Calibri"/>
                <w:color w:val="000000"/>
                <w:sz w:val="22"/>
                <w:szCs w:val="22"/>
              </w:rPr>
            </w:pPr>
            <w:r>
              <w:rPr>
                <w:rFonts w:ascii="Calibri" w:hAnsi="Calibri" w:cs="Calibri"/>
                <w:color w:val="000000"/>
                <w:sz w:val="22"/>
                <w:szCs w:val="22"/>
              </w:rPr>
              <w:t>Cardura XL® (doxazosin mesylate) 4, 8 mg ER tab</w:t>
            </w:r>
          </w:p>
        </w:tc>
        <w:tc>
          <w:tcPr>
            <w:tcW w:w="516" w:type="pct"/>
            <w:shd w:val="clear" w:color="auto" w:fill="auto"/>
            <w:vAlign w:val="center"/>
          </w:tcPr>
          <w:p w:rsidR="00AC3466" w:rsidRPr="00031F67" w:rsidRDefault="00AC3466" w:rsidP="009346F5">
            <w:pPr>
              <w:jc w:val="center"/>
              <w:rPr>
                <w:rFonts w:asciiTheme="minorHAnsi" w:hAnsiTheme="minorHAnsi" w:cstheme="minorHAnsi"/>
                <w:sz w:val="22"/>
                <w:szCs w:val="22"/>
              </w:rPr>
            </w:pPr>
          </w:p>
        </w:tc>
        <w:tc>
          <w:tcPr>
            <w:tcW w:w="702" w:type="pct"/>
            <w:shd w:val="clear" w:color="auto" w:fill="auto"/>
            <w:vAlign w:val="center"/>
          </w:tcPr>
          <w:p w:rsidR="00AC3466" w:rsidRPr="00031F67" w:rsidRDefault="00AC3466" w:rsidP="009346F5">
            <w:pPr>
              <w:spacing w:before="10" w:after="10"/>
              <w:jc w:val="center"/>
              <w:rPr>
                <w:rFonts w:asciiTheme="minorHAnsi" w:hAnsiTheme="minorHAnsi" w:cstheme="minorHAnsi"/>
                <w:sz w:val="22"/>
                <w:szCs w:val="22"/>
              </w:rPr>
            </w:pPr>
          </w:p>
        </w:tc>
        <w:tc>
          <w:tcPr>
            <w:tcW w:w="1250" w:type="pct"/>
            <w:vAlign w:val="center"/>
          </w:tcPr>
          <w:p w:rsidR="00AC3466" w:rsidRDefault="00AC3466" w:rsidP="00B50EDD">
            <w:pPr>
              <w:jc w:val="center"/>
            </w:pPr>
          </w:p>
        </w:tc>
      </w:tr>
      <w:tr w:rsidR="00AC3466" w:rsidRPr="00031F67" w:rsidTr="00AC3466">
        <w:trPr>
          <w:trHeight w:val="268"/>
          <w:jc w:val="center"/>
        </w:trPr>
        <w:tc>
          <w:tcPr>
            <w:tcW w:w="523" w:type="pct"/>
            <w:shd w:val="clear" w:color="auto" w:fill="auto"/>
          </w:tcPr>
          <w:p w:rsidR="00AC3466" w:rsidRDefault="00AC3466" w:rsidP="00C56A50">
            <w:pPr>
              <w:rPr>
                <w:rFonts w:ascii="Calibri" w:hAnsi="Calibri" w:cs="Calibri"/>
                <w:color w:val="000000"/>
                <w:sz w:val="22"/>
                <w:szCs w:val="22"/>
              </w:rPr>
            </w:pPr>
            <w:r>
              <w:rPr>
                <w:rFonts w:ascii="Calibri" w:hAnsi="Calibri" w:cs="Calibri"/>
                <w:color w:val="000000"/>
                <w:sz w:val="22"/>
                <w:szCs w:val="22"/>
              </w:rPr>
              <w:t>33431</w:t>
            </w:r>
          </w:p>
          <w:p w:rsidR="00AC3466" w:rsidRDefault="00AC3466" w:rsidP="00C56A50">
            <w:pPr>
              <w:rPr>
                <w:rFonts w:ascii="Calibri" w:hAnsi="Calibri" w:cs="Calibri"/>
                <w:color w:val="000000"/>
                <w:sz w:val="22"/>
                <w:szCs w:val="22"/>
              </w:rPr>
            </w:pPr>
            <w:r>
              <w:rPr>
                <w:rFonts w:ascii="Calibri" w:hAnsi="Calibri" w:cs="Calibri"/>
                <w:color w:val="000000"/>
                <w:sz w:val="22"/>
                <w:szCs w:val="22"/>
              </w:rPr>
              <w:t>33432</w:t>
            </w:r>
          </w:p>
          <w:p w:rsidR="00AC3466" w:rsidRDefault="00AC3466" w:rsidP="00C56A50">
            <w:pPr>
              <w:rPr>
                <w:rFonts w:ascii="Calibri" w:hAnsi="Calibri" w:cs="Calibri"/>
                <w:color w:val="000000"/>
                <w:sz w:val="22"/>
                <w:szCs w:val="22"/>
              </w:rPr>
            </w:pPr>
            <w:r>
              <w:rPr>
                <w:rFonts w:ascii="Calibri" w:hAnsi="Calibri" w:cs="Calibri"/>
                <w:color w:val="000000"/>
                <w:sz w:val="22"/>
                <w:szCs w:val="22"/>
              </w:rPr>
              <w:t>33433</w:t>
            </w:r>
          </w:p>
          <w:p w:rsidR="00AC3466" w:rsidRPr="009346F5" w:rsidRDefault="00AC3466" w:rsidP="00C56A50">
            <w:pPr>
              <w:rPr>
                <w:rFonts w:ascii="Calibri" w:hAnsi="Calibri" w:cs="Calibri"/>
                <w:color w:val="000000"/>
                <w:sz w:val="22"/>
                <w:szCs w:val="22"/>
              </w:rPr>
            </w:pPr>
            <w:r>
              <w:rPr>
                <w:rFonts w:ascii="Calibri" w:hAnsi="Calibri" w:cs="Calibri"/>
                <w:color w:val="000000"/>
                <w:sz w:val="22"/>
                <w:szCs w:val="22"/>
              </w:rPr>
              <w:t>33434</w:t>
            </w:r>
          </w:p>
        </w:tc>
        <w:tc>
          <w:tcPr>
            <w:tcW w:w="2009" w:type="pct"/>
            <w:shd w:val="clear" w:color="auto" w:fill="auto"/>
            <w:vAlign w:val="center"/>
          </w:tcPr>
          <w:p w:rsidR="00AC3466" w:rsidRPr="00382D45" w:rsidRDefault="00AC3466" w:rsidP="00C56A50">
            <w:pPr>
              <w:rPr>
                <w:rFonts w:ascii="Calibri" w:hAnsi="Calibri" w:cs="Calibri"/>
                <w:color w:val="000000"/>
                <w:sz w:val="22"/>
                <w:szCs w:val="22"/>
              </w:rPr>
            </w:pPr>
            <w:r>
              <w:rPr>
                <w:rFonts w:ascii="Calibri" w:hAnsi="Calibri" w:cs="Calibri"/>
                <w:color w:val="000000"/>
                <w:sz w:val="22"/>
                <w:szCs w:val="22"/>
              </w:rPr>
              <w:t>doxazosin mesylate (Cardura®) 1, 2, 4, 8 mg tab</w:t>
            </w:r>
          </w:p>
        </w:tc>
        <w:tc>
          <w:tcPr>
            <w:tcW w:w="516" w:type="pct"/>
            <w:shd w:val="clear" w:color="auto" w:fill="auto"/>
            <w:vAlign w:val="center"/>
          </w:tcPr>
          <w:p w:rsidR="00AC3466" w:rsidRPr="00031F67" w:rsidRDefault="00AC3466" w:rsidP="009346F5">
            <w:pPr>
              <w:jc w:val="center"/>
              <w:rPr>
                <w:rFonts w:asciiTheme="minorHAnsi" w:hAnsiTheme="minorHAnsi" w:cstheme="minorHAnsi"/>
                <w:sz w:val="22"/>
                <w:szCs w:val="22"/>
              </w:rPr>
            </w:pPr>
          </w:p>
        </w:tc>
        <w:tc>
          <w:tcPr>
            <w:tcW w:w="702" w:type="pct"/>
            <w:shd w:val="clear" w:color="auto" w:fill="auto"/>
            <w:vAlign w:val="center"/>
          </w:tcPr>
          <w:p w:rsidR="00AC3466" w:rsidRPr="00031F67" w:rsidRDefault="00AC3466" w:rsidP="009346F5">
            <w:pPr>
              <w:spacing w:before="10" w:after="10"/>
              <w:jc w:val="center"/>
              <w:rPr>
                <w:rFonts w:asciiTheme="minorHAnsi" w:hAnsiTheme="minorHAnsi" w:cstheme="minorHAnsi"/>
                <w:sz w:val="22"/>
                <w:szCs w:val="22"/>
              </w:rPr>
            </w:pPr>
          </w:p>
        </w:tc>
        <w:tc>
          <w:tcPr>
            <w:tcW w:w="1250" w:type="pct"/>
            <w:vAlign w:val="center"/>
          </w:tcPr>
          <w:p w:rsidR="00AC3466" w:rsidRDefault="00AC3466" w:rsidP="00B50EDD">
            <w:pPr>
              <w:jc w:val="center"/>
            </w:pPr>
          </w:p>
        </w:tc>
      </w:tr>
      <w:tr w:rsidR="00AC3466" w:rsidRPr="00031F67" w:rsidTr="00AC3466">
        <w:trPr>
          <w:trHeight w:val="260"/>
          <w:jc w:val="center"/>
        </w:trPr>
        <w:tc>
          <w:tcPr>
            <w:tcW w:w="523" w:type="pct"/>
            <w:shd w:val="clear" w:color="auto" w:fill="auto"/>
          </w:tcPr>
          <w:p w:rsidR="00AC3466" w:rsidRDefault="00AC3466" w:rsidP="00C56A50">
            <w:pPr>
              <w:rPr>
                <w:rFonts w:ascii="Calibri" w:hAnsi="Calibri" w:cs="Calibri"/>
                <w:color w:val="000000"/>
                <w:sz w:val="22"/>
                <w:szCs w:val="22"/>
              </w:rPr>
            </w:pPr>
            <w:r>
              <w:rPr>
                <w:rFonts w:ascii="Calibri" w:hAnsi="Calibri" w:cs="Calibri"/>
                <w:color w:val="000000"/>
                <w:sz w:val="22"/>
                <w:szCs w:val="22"/>
              </w:rPr>
              <w:t>47124</w:t>
            </w:r>
          </w:p>
          <w:p w:rsidR="00AC3466" w:rsidRDefault="00AC3466" w:rsidP="00C56A50">
            <w:pPr>
              <w:rPr>
                <w:rFonts w:ascii="Calibri" w:hAnsi="Calibri" w:cs="Calibri"/>
                <w:color w:val="000000"/>
                <w:sz w:val="22"/>
                <w:szCs w:val="22"/>
              </w:rPr>
            </w:pPr>
            <w:r>
              <w:rPr>
                <w:rFonts w:ascii="Calibri" w:hAnsi="Calibri" w:cs="Calibri"/>
                <w:color w:val="000000"/>
                <w:sz w:val="22"/>
                <w:szCs w:val="22"/>
              </w:rPr>
              <w:t>47125</w:t>
            </w:r>
          </w:p>
          <w:p w:rsidR="00AC3466" w:rsidRDefault="00AC3466" w:rsidP="00C56A50">
            <w:pPr>
              <w:rPr>
                <w:rFonts w:ascii="Calibri" w:hAnsi="Calibri" w:cs="Calibri"/>
                <w:color w:val="000000"/>
                <w:sz w:val="22"/>
                <w:szCs w:val="22"/>
              </w:rPr>
            </w:pPr>
            <w:r>
              <w:rPr>
                <w:rFonts w:ascii="Calibri" w:hAnsi="Calibri" w:cs="Calibri"/>
                <w:color w:val="000000"/>
                <w:sz w:val="22"/>
                <w:szCs w:val="22"/>
              </w:rPr>
              <w:t>47126</w:t>
            </w:r>
          </w:p>
          <w:p w:rsidR="00AC3466" w:rsidRDefault="00AC3466" w:rsidP="00C56A50">
            <w:pPr>
              <w:rPr>
                <w:rFonts w:ascii="Calibri" w:hAnsi="Calibri" w:cs="Calibri"/>
                <w:color w:val="000000"/>
                <w:sz w:val="22"/>
                <w:szCs w:val="22"/>
              </w:rPr>
            </w:pPr>
            <w:r>
              <w:rPr>
                <w:rFonts w:ascii="Calibri" w:hAnsi="Calibri" w:cs="Calibri"/>
                <w:color w:val="000000"/>
                <w:sz w:val="22"/>
                <w:szCs w:val="22"/>
              </w:rPr>
              <w:t>47127</w:t>
            </w:r>
          </w:p>
        </w:tc>
        <w:tc>
          <w:tcPr>
            <w:tcW w:w="2009" w:type="pct"/>
            <w:shd w:val="clear" w:color="auto" w:fill="auto"/>
            <w:vAlign w:val="center"/>
          </w:tcPr>
          <w:p w:rsidR="00AC3466" w:rsidRPr="00567B9D" w:rsidRDefault="00AC3466" w:rsidP="00C56A50">
            <w:pPr>
              <w:rPr>
                <w:rFonts w:ascii="Calibri" w:hAnsi="Calibri" w:cs="Calibri"/>
                <w:color w:val="000000"/>
                <w:sz w:val="22"/>
                <w:szCs w:val="22"/>
              </w:rPr>
            </w:pPr>
            <w:r>
              <w:rPr>
                <w:rFonts w:ascii="Calibri" w:hAnsi="Calibri" w:cs="Calibri"/>
                <w:color w:val="000000"/>
                <w:sz w:val="22"/>
                <w:szCs w:val="22"/>
              </w:rPr>
              <w:t>terazosin 1, 2, 5, 10 mg cap</w:t>
            </w:r>
          </w:p>
        </w:tc>
        <w:tc>
          <w:tcPr>
            <w:tcW w:w="516" w:type="pct"/>
            <w:shd w:val="clear" w:color="auto" w:fill="auto"/>
            <w:vAlign w:val="center"/>
          </w:tcPr>
          <w:p w:rsidR="00AC3466" w:rsidRPr="00031F67" w:rsidRDefault="00AC3466" w:rsidP="009346F5">
            <w:pPr>
              <w:jc w:val="center"/>
              <w:rPr>
                <w:rFonts w:asciiTheme="minorHAnsi" w:hAnsiTheme="minorHAnsi" w:cstheme="minorHAnsi"/>
                <w:color w:val="000000"/>
                <w:sz w:val="22"/>
                <w:szCs w:val="22"/>
              </w:rPr>
            </w:pPr>
          </w:p>
        </w:tc>
        <w:tc>
          <w:tcPr>
            <w:tcW w:w="702" w:type="pct"/>
            <w:shd w:val="clear" w:color="auto" w:fill="auto"/>
            <w:vAlign w:val="center"/>
          </w:tcPr>
          <w:p w:rsidR="00AC3466" w:rsidRPr="00031F67" w:rsidRDefault="00AC3466" w:rsidP="009346F5">
            <w:pPr>
              <w:spacing w:before="20" w:after="20"/>
              <w:jc w:val="center"/>
              <w:rPr>
                <w:rFonts w:asciiTheme="minorHAnsi" w:hAnsiTheme="minorHAnsi" w:cstheme="minorHAnsi"/>
                <w:sz w:val="22"/>
                <w:szCs w:val="22"/>
              </w:rPr>
            </w:pPr>
          </w:p>
        </w:tc>
        <w:tc>
          <w:tcPr>
            <w:tcW w:w="1250" w:type="pct"/>
            <w:shd w:val="clear" w:color="auto" w:fill="auto"/>
            <w:vAlign w:val="center"/>
          </w:tcPr>
          <w:p w:rsidR="00AC3466" w:rsidRDefault="00AC3466" w:rsidP="00B50EDD">
            <w:pPr>
              <w:jc w:val="center"/>
            </w:pPr>
          </w:p>
        </w:tc>
      </w:tr>
      <w:tr w:rsidR="00AC3466" w:rsidRPr="00031F67" w:rsidTr="00AC3466">
        <w:trPr>
          <w:trHeight w:val="260"/>
          <w:jc w:val="center"/>
        </w:trPr>
        <w:tc>
          <w:tcPr>
            <w:tcW w:w="523" w:type="pct"/>
            <w:shd w:val="clear" w:color="auto" w:fill="auto"/>
          </w:tcPr>
          <w:p w:rsidR="00AC3466" w:rsidRDefault="00AC3466" w:rsidP="00C56A50">
            <w:pPr>
              <w:rPr>
                <w:rFonts w:ascii="Calibri" w:hAnsi="Calibri" w:cs="Calibri"/>
                <w:color w:val="000000"/>
                <w:sz w:val="22"/>
                <w:szCs w:val="22"/>
              </w:rPr>
            </w:pPr>
            <w:r>
              <w:rPr>
                <w:rFonts w:ascii="Calibri" w:hAnsi="Calibri" w:cs="Calibri"/>
                <w:color w:val="000000"/>
                <w:sz w:val="22"/>
                <w:szCs w:val="22"/>
              </w:rPr>
              <w:t>48191</w:t>
            </w:r>
          </w:p>
        </w:tc>
        <w:tc>
          <w:tcPr>
            <w:tcW w:w="2009" w:type="pct"/>
            <w:shd w:val="clear" w:color="auto" w:fill="auto"/>
            <w:vAlign w:val="center"/>
          </w:tcPr>
          <w:p w:rsidR="00AC3466" w:rsidRPr="00212290" w:rsidRDefault="00AC3466" w:rsidP="00C56A50">
            <w:pPr>
              <w:rPr>
                <w:rFonts w:ascii="Calibri" w:hAnsi="Calibri" w:cs="Calibri"/>
                <w:color w:val="000000"/>
                <w:sz w:val="22"/>
                <w:szCs w:val="22"/>
              </w:rPr>
            </w:pPr>
            <w:r>
              <w:rPr>
                <w:rFonts w:ascii="Calibri" w:hAnsi="Calibri" w:cs="Calibri"/>
                <w:color w:val="000000"/>
                <w:sz w:val="22"/>
                <w:szCs w:val="22"/>
              </w:rPr>
              <w:t>tamsulosin (Flomax®) 0.4 mg ER cap</w:t>
            </w:r>
          </w:p>
        </w:tc>
        <w:tc>
          <w:tcPr>
            <w:tcW w:w="516" w:type="pct"/>
            <w:shd w:val="clear" w:color="auto" w:fill="auto"/>
            <w:vAlign w:val="center"/>
          </w:tcPr>
          <w:p w:rsidR="00AC3466" w:rsidRPr="00031F67" w:rsidRDefault="00AC3466" w:rsidP="009346F5">
            <w:pPr>
              <w:jc w:val="center"/>
              <w:rPr>
                <w:rFonts w:asciiTheme="minorHAnsi" w:hAnsiTheme="minorHAnsi" w:cstheme="minorHAnsi"/>
                <w:color w:val="000000"/>
                <w:sz w:val="22"/>
                <w:szCs w:val="22"/>
              </w:rPr>
            </w:pPr>
          </w:p>
        </w:tc>
        <w:tc>
          <w:tcPr>
            <w:tcW w:w="702" w:type="pct"/>
            <w:shd w:val="clear" w:color="auto" w:fill="auto"/>
            <w:vAlign w:val="center"/>
          </w:tcPr>
          <w:p w:rsidR="00AC3466" w:rsidRPr="00031F67" w:rsidRDefault="00AC3466" w:rsidP="009346F5">
            <w:pPr>
              <w:spacing w:before="20" w:after="20"/>
              <w:jc w:val="center"/>
              <w:rPr>
                <w:rFonts w:asciiTheme="minorHAnsi" w:hAnsiTheme="minorHAnsi" w:cstheme="minorHAnsi"/>
                <w:sz w:val="22"/>
                <w:szCs w:val="22"/>
              </w:rPr>
            </w:pPr>
          </w:p>
        </w:tc>
        <w:tc>
          <w:tcPr>
            <w:tcW w:w="1250" w:type="pct"/>
            <w:shd w:val="clear" w:color="auto" w:fill="auto"/>
            <w:vAlign w:val="center"/>
          </w:tcPr>
          <w:p w:rsidR="00AC3466" w:rsidRPr="00031F67" w:rsidRDefault="00AC3466" w:rsidP="00C95E8D">
            <w:pPr>
              <w:spacing w:before="20" w:after="20"/>
              <w:jc w:val="center"/>
              <w:rPr>
                <w:rFonts w:asciiTheme="minorHAnsi" w:hAnsiTheme="minorHAnsi" w:cstheme="minorHAnsi"/>
                <w:sz w:val="22"/>
                <w:szCs w:val="22"/>
              </w:rPr>
            </w:pPr>
          </w:p>
        </w:tc>
      </w:tr>
      <w:tr w:rsidR="00AC3466" w:rsidRPr="00031F67" w:rsidTr="00AC3466">
        <w:trPr>
          <w:trHeight w:val="260"/>
          <w:jc w:val="center"/>
        </w:trPr>
        <w:tc>
          <w:tcPr>
            <w:tcW w:w="523" w:type="pct"/>
            <w:shd w:val="clear" w:color="auto" w:fill="auto"/>
          </w:tcPr>
          <w:p w:rsidR="00AC3466" w:rsidRDefault="00AC3466" w:rsidP="00C56A50">
            <w:pPr>
              <w:rPr>
                <w:rFonts w:ascii="Calibri" w:hAnsi="Calibri" w:cs="Calibri"/>
                <w:color w:val="000000"/>
                <w:sz w:val="22"/>
                <w:szCs w:val="22"/>
              </w:rPr>
            </w:pPr>
            <w:r>
              <w:rPr>
                <w:rFonts w:ascii="Calibri" w:hAnsi="Calibri" w:cs="Calibri"/>
                <w:color w:val="000000"/>
                <w:sz w:val="22"/>
                <w:szCs w:val="22"/>
              </w:rPr>
              <w:t>28596</w:t>
            </w:r>
          </w:p>
        </w:tc>
        <w:tc>
          <w:tcPr>
            <w:tcW w:w="2009" w:type="pct"/>
            <w:shd w:val="clear" w:color="auto" w:fill="auto"/>
            <w:vAlign w:val="center"/>
          </w:tcPr>
          <w:p w:rsidR="00AC3466" w:rsidRDefault="00AC3466" w:rsidP="00C56A50">
            <w:pPr>
              <w:rPr>
                <w:rFonts w:ascii="Calibri" w:hAnsi="Calibri" w:cs="Calibri"/>
                <w:color w:val="000000"/>
                <w:sz w:val="22"/>
                <w:szCs w:val="22"/>
              </w:rPr>
            </w:pPr>
            <w:r>
              <w:rPr>
                <w:rFonts w:ascii="Calibri" w:hAnsi="Calibri" w:cs="Calibri"/>
                <w:color w:val="000000"/>
                <w:sz w:val="22"/>
                <w:szCs w:val="22"/>
              </w:rPr>
              <w:t>dutasteride/tamsulosin (Jalyn®) 0.5-0.4 mg cap</w:t>
            </w:r>
          </w:p>
        </w:tc>
        <w:tc>
          <w:tcPr>
            <w:tcW w:w="516" w:type="pct"/>
            <w:shd w:val="clear" w:color="auto" w:fill="auto"/>
            <w:vAlign w:val="center"/>
          </w:tcPr>
          <w:p w:rsidR="00AC3466" w:rsidRPr="00031F67" w:rsidRDefault="00AC3466" w:rsidP="009346F5">
            <w:pPr>
              <w:jc w:val="center"/>
              <w:rPr>
                <w:rFonts w:asciiTheme="minorHAnsi" w:hAnsiTheme="minorHAnsi" w:cstheme="minorHAnsi"/>
                <w:color w:val="000000"/>
                <w:sz w:val="22"/>
                <w:szCs w:val="22"/>
              </w:rPr>
            </w:pPr>
          </w:p>
        </w:tc>
        <w:tc>
          <w:tcPr>
            <w:tcW w:w="702" w:type="pct"/>
            <w:shd w:val="clear" w:color="auto" w:fill="auto"/>
            <w:vAlign w:val="center"/>
          </w:tcPr>
          <w:p w:rsidR="00AC3466" w:rsidRPr="00031F67" w:rsidRDefault="00AC3466" w:rsidP="009346F5">
            <w:pPr>
              <w:spacing w:before="20" w:after="20"/>
              <w:jc w:val="center"/>
              <w:rPr>
                <w:rFonts w:asciiTheme="minorHAnsi" w:hAnsiTheme="minorHAnsi" w:cstheme="minorHAnsi"/>
                <w:sz w:val="22"/>
                <w:szCs w:val="22"/>
              </w:rPr>
            </w:pPr>
          </w:p>
        </w:tc>
        <w:tc>
          <w:tcPr>
            <w:tcW w:w="1250" w:type="pct"/>
            <w:shd w:val="clear" w:color="auto" w:fill="auto"/>
            <w:vAlign w:val="center"/>
          </w:tcPr>
          <w:p w:rsidR="00AC3466" w:rsidRPr="00031F67" w:rsidRDefault="00AC3466" w:rsidP="00C95E8D">
            <w:pPr>
              <w:spacing w:before="20" w:after="20"/>
              <w:jc w:val="center"/>
              <w:rPr>
                <w:rFonts w:asciiTheme="minorHAnsi" w:hAnsiTheme="minorHAnsi" w:cstheme="minorHAnsi"/>
                <w:sz w:val="22"/>
                <w:szCs w:val="22"/>
              </w:rPr>
            </w:pPr>
          </w:p>
        </w:tc>
      </w:tr>
      <w:tr w:rsidR="00AC3466" w:rsidRPr="00031F67" w:rsidTr="00AC3466">
        <w:trPr>
          <w:trHeight w:val="260"/>
          <w:jc w:val="center"/>
        </w:trPr>
        <w:tc>
          <w:tcPr>
            <w:tcW w:w="523" w:type="pct"/>
            <w:shd w:val="clear" w:color="auto" w:fill="auto"/>
          </w:tcPr>
          <w:p w:rsidR="00AC3466" w:rsidRDefault="00AC3466" w:rsidP="00C56A50">
            <w:pPr>
              <w:rPr>
                <w:rFonts w:ascii="Calibri" w:hAnsi="Calibri" w:cs="Calibri"/>
                <w:color w:val="000000"/>
                <w:sz w:val="22"/>
                <w:szCs w:val="22"/>
              </w:rPr>
            </w:pPr>
            <w:r>
              <w:rPr>
                <w:rFonts w:ascii="Calibri" w:hAnsi="Calibri" w:cs="Calibri"/>
                <w:color w:val="000000"/>
                <w:sz w:val="22"/>
                <w:szCs w:val="22"/>
              </w:rPr>
              <w:t>30521</w:t>
            </w:r>
          </w:p>
        </w:tc>
        <w:tc>
          <w:tcPr>
            <w:tcW w:w="2009" w:type="pct"/>
            <w:shd w:val="clear" w:color="auto" w:fill="auto"/>
            <w:vAlign w:val="center"/>
          </w:tcPr>
          <w:p w:rsidR="00AC3466" w:rsidRPr="00567B9D" w:rsidRDefault="00AC3466" w:rsidP="00C56A50">
            <w:pPr>
              <w:rPr>
                <w:rFonts w:ascii="Calibri" w:hAnsi="Calibri" w:cs="Calibri"/>
                <w:color w:val="000000"/>
                <w:sz w:val="22"/>
                <w:szCs w:val="22"/>
              </w:rPr>
            </w:pPr>
            <w:r>
              <w:rPr>
                <w:rFonts w:ascii="Calibri" w:hAnsi="Calibri" w:cs="Calibri"/>
                <w:color w:val="000000"/>
                <w:sz w:val="22"/>
                <w:szCs w:val="22"/>
              </w:rPr>
              <w:t>finasteride (Proscar®) 5 mg tab</w:t>
            </w:r>
          </w:p>
        </w:tc>
        <w:tc>
          <w:tcPr>
            <w:tcW w:w="516" w:type="pct"/>
            <w:shd w:val="clear" w:color="auto" w:fill="auto"/>
            <w:vAlign w:val="center"/>
          </w:tcPr>
          <w:p w:rsidR="00AC3466" w:rsidRPr="00031F67" w:rsidRDefault="00AC3466" w:rsidP="009346F5">
            <w:pPr>
              <w:jc w:val="center"/>
              <w:rPr>
                <w:rFonts w:asciiTheme="minorHAnsi" w:hAnsiTheme="minorHAnsi" w:cstheme="minorHAnsi"/>
                <w:color w:val="000000"/>
                <w:sz w:val="22"/>
                <w:szCs w:val="22"/>
              </w:rPr>
            </w:pPr>
          </w:p>
        </w:tc>
        <w:tc>
          <w:tcPr>
            <w:tcW w:w="702" w:type="pct"/>
            <w:shd w:val="clear" w:color="auto" w:fill="auto"/>
            <w:vAlign w:val="center"/>
          </w:tcPr>
          <w:p w:rsidR="00AC3466" w:rsidRPr="00031F67" w:rsidRDefault="00AC3466" w:rsidP="009346F5">
            <w:pPr>
              <w:spacing w:before="20" w:after="20"/>
              <w:jc w:val="center"/>
              <w:rPr>
                <w:rFonts w:asciiTheme="minorHAnsi" w:hAnsiTheme="minorHAnsi" w:cstheme="minorHAnsi"/>
                <w:sz w:val="22"/>
                <w:szCs w:val="22"/>
              </w:rPr>
            </w:pPr>
          </w:p>
        </w:tc>
        <w:tc>
          <w:tcPr>
            <w:tcW w:w="1250" w:type="pct"/>
            <w:shd w:val="clear" w:color="auto" w:fill="auto"/>
            <w:vAlign w:val="center"/>
          </w:tcPr>
          <w:p w:rsidR="00AC3466" w:rsidRDefault="00AC3466" w:rsidP="00B50EDD">
            <w:pPr>
              <w:jc w:val="center"/>
            </w:pPr>
          </w:p>
        </w:tc>
      </w:tr>
      <w:tr w:rsidR="00AC3466" w:rsidRPr="00031F67" w:rsidTr="00AC3466">
        <w:trPr>
          <w:trHeight w:val="593"/>
          <w:jc w:val="center"/>
        </w:trPr>
        <w:tc>
          <w:tcPr>
            <w:tcW w:w="523" w:type="pct"/>
            <w:shd w:val="clear" w:color="auto" w:fill="auto"/>
          </w:tcPr>
          <w:p w:rsidR="00AC3466" w:rsidRDefault="00AC3466" w:rsidP="00C56A50">
            <w:pPr>
              <w:rPr>
                <w:rFonts w:ascii="Calibri" w:hAnsi="Calibri" w:cs="Calibri"/>
                <w:color w:val="000000"/>
                <w:sz w:val="22"/>
                <w:szCs w:val="22"/>
              </w:rPr>
            </w:pPr>
            <w:r>
              <w:rPr>
                <w:rFonts w:ascii="Calibri" w:hAnsi="Calibri" w:cs="Calibri"/>
                <w:color w:val="000000"/>
                <w:sz w:val="22"/>
                <w:szCs w:val="22"/>
              </w:rPr>
              <w:t>18428</w:t>
            </w:r>
          </w:p>
        </w:tc>
        <w:tc>
          <w:tcPr>
            <w:tcW w:w="2009" w:type="pct"/>
            <w:shd w:val="clear" w:color="auto" w:fill="auto"/>
            <w:vAlign w:val="center"/>
          </w:tcPr>
          <w:p w:rsidR="00AC3466" w:rsidRPr="00297ABB" w:rsidRDefault="00AC3466" w:rsidP="00C56A50">
            <w:pPr>
              <w:rPr>
                <w:rFonts w:ascii="Calibri" w:hAnsi="Calibri" w:cs="Calibri"/>
                <w:color w:val="000000"/>
                <w:sz w:val="22"/>
                <w:szCs w:val="22"/>
              </w:rPr>
            </w:pPr>
            <w:r>
              <w:rPr>
                <w:rFonts w:ascii="Calibri" w:hAnsi="Calibri" w:cs="Calibri"/>
                <w:color w:val="000000"/>
                <w:sz w:val="22"/>
                <w:szCs w:val="22"/>
              </w:rPr>
              <w:t>dutasteride (Avodart®) 0.5 mg cap</w:t>
            </w:r>
          </w:p>
        </w:tc>
        <w:tc>
          <w:tcPr>
            <w:tcW w:w="516" w:type="pct"/>
            <w:shd w:val="clear" w:color="auto" w:fill="auto"/>
            <w:vAlign w:val="center"/>
          </w:tcPr>
          <w:p w:rsidR="00AC3466" w:rsidRPr="00031F67" w:rsidRDefault="00AC3466" w:rsidP="009346F5">
            <w:pPr>
              <w:jc w:val="center"/>
              <w:rPr>
                <w:rFonts w:asciiTheme="minorHAnsi" w:hAnsiTheme="minorHAnsi" w:cstheme="minorHAnsi"/>
                <w:color w:val="000000"/>
                <w:sz w:val="22"/>
                <w:szCs w:val="22"/>
              </w:rPr>
            </w:pPr>
          </w:p>
        </w:tc>
        <w:tc>
          <w:tcPr>
            <w:tcW w:w="702" w:type="pct"/>
            <w:shd w:val="clear" w:color="auto" w:fill="auto"/>
            <w:vAlign w:val="center"/>
          </w:tcPr>
          <w:p w:rsidR="00AC3466" w:rsidRPr="00031F67" w:rsidRDefault="00AC3466" w:rsidP="009346F5">
            <w:pPr>
              <w:spacing w:before="20" w:after="20"/>
              <w:jc w:val="center"/>
              <w:rPr>
                <w:rFonts w:asciiTheme="minorHAnsi" w:hAnsiTheme="minorHAnsi" w:cstheme="minorHAnsi"/>
                <w:sz w:val="22"/>
                <w:szCs w:val="22"/>
              </w:rPr>
            </w:pPr>
          </w:p>
        </w:tc>
        <w:tc>
          <w:tcPr>
            <w:tcW w:w="1250" w:type="pct"/>
            <w:vAlign w:val="center"/>
          </w:tcPr>
          <w:p w:rsidR="00AC3466" w:rsidRDefault="00AC3466" w:rsidP="00B50EDD">
            <w:pPr>
              <w:jc w:val="center"/>
            </w:pPr>
          </w:p>
        </w:tc>
      </w:tr>
      <w:tr w:rsidR="00AC3466" w:rsidRPr="00031F67" w:rsidTr="00AC3466">
        <w:trPr>
          <w:trHeight w:val="593"/>
          <w:jc w:val="center"/>
        </w:trPr>
        <w:tc>
          <w:tcPr>
            <w:tcW w:w="523" w:type="pct"/>
            <w:shd w:val="clear" w:color="auto" w:fill="auto"/>
          </w:tcPr>
          <w:p w:rsidR="00AC3466" w:rsidRDefault="00AC3466" w:rsidP="00C56A50">
            <w:pPr>
              <w:rPr>
                <w:rFonts w:ascii="Calibri" w:hAnsi="Calibri" w:cs="Calibri"/>
                <w:color w:val="000000"/>
                <w:sz w:val="22"/>
                <w:szCs w:val="22"/>
              </w:rPr>
            </w:pPr>
            <w:r>
              <w:rPr>
                <w:rFonts w:ascii="Calibri" w:hAnsi="Calibri" w:cs="Calibri"/>
                <w:color w:val="000000"/>
                <w:sz w:val="22"/>
                <w:szCs w:val="22"/>
              </w:rPr>
              <w:t>99409</w:t>
            </w:r>
          </w:p>
          <w:p w:rsidR="00AC3466" w:rsidRDefault="00AC3466" w:rsidP="00C56A50">
            <w:pPr>
              <w:rPr>
                <w:rFonts w:ascii="Calibri" w:hAnsi="Calibri" w:cs="Calibri"/>
                <w:color w:val="000000"/>
                <w:sz w:val="22"/>
                <w:szCs w:val="22"/>
              </w:rPr>
            </w:pPr>
            <w:r>
              <w:rPr>
                <w:rFonts w:ascii="Calibri" w:hAnsi="Calibri" w:cs="Calibri"/>
                <w:color w:val="000000"/>
                <w:sz w:val="22"/>
                <w:szCs w:val="22"/>
              </w:rPr>
              <w:t>20736</w:t>
            </w:r>
          </w:p>
        </w:tc>
        <w:tc>
          <w:tcPr>
            <w:tcW w:w="2009" w:type="pct"/>
            <w:shd w:val="clear" w:color="auto" w:fill="auto"/>
            <w:vAlign w:val="center"/>
          </w:tcPr>
          <w:p w:rsidR="00AC3466" w:rsidRDefault="00AC3466" w:rsidP="00C56A50">
            <w:pPr>
              <w:rPr>
                <w:rFonts w:ascii="Calibri" w:hAnsi="Calibri" w:cs="Calibri"/>
                <w:color w:val="000000"/>
                <w:sz w:val="22"/>
                <w:szCs w:val="22"/>
              </w:rPr>
            </w:pPr>
            <w:r>
              <w:rPr>
                <w:rFonts w:ascii="Calibri" w:hAnsi="Calibri" w:cs="Calibri"/>
                <w:color w:val="000000"/>
                <w:sz w:val="22"/>
                <w:szCs w:val="22"/>
              </w:rPr>
              <w:t>Cialis® (tadalafil) 2.5, 5 mg tab</w:t>
            </w:r>
          </w:p>
        </w:tc>
        <w:tc>
          <w:tcPr>
            <w:tcW w:w="516" w:type="pct"/>
            <w:shd w:val="clear" w:color="auto" w:fill="auto"/>
            <w:vAlign w:val="center"/>
          </w:tcPr>
          <w:p w:rsidR="00AC3466" w:rsidRPr="00031F67" w:rsidRDefault="00AC3466" w:rsidP="009346F5">
            <w:pPr>
              <w:jc w:val="center"/>
              <w:rPr>
                <w:rFonts w:asciiTheme="minorHAnsi" w:hAnsiTheme="minorHAnsi" w:cstheme="minorHAnsi"/>
                <w:color w:val="000000"/>
                <w:sz w:val="22"/>
                <w:szCs w:val="22"/>
              </w:rPr>
            </w:pPr>
          </w:p>
        </w:tc>
        <w:tc>
          <w:tcPr>
            <w:tcW w:w="702" w:type="pct"/>
            <w:shd w:val="clear" w:color="auto" w:fill="auto"/>
            <w:vAlign w:val="center"/>
          </w:tcPr>
          <w:p w:rsidR="00AC3466" w:rsidRDefault="00AC3466" w:rsidP="009346F5">
            <w:pPr>
              <w:spacing w:before="20" w:after="20"/>
              <w:jc w:val="center"/>
              <w:rPr>
                <w:rFonts w:asciiTheme="minorHAnsi" w:hAnsiTheme="minorHAnsi" w:cstheme="minorHAnsi"/>
                <w:sz w:val="22"/>
                <w:szCs w:val="22"/>
              </w:rPr>
            </w:pPr>
          </w:p>
        </w:tc>
        <w:tc>
          <w:tcPr>
            <w:tcW w:w="1250" w:type="pct"/>
            <w:vAlign w:val="center"/>
          </w:tcPr>
          <w:p w:rsidR="00AC3466" w:rsidRDefault="00AC3466" w:rsidP="00C95E8D">
            <w:pPr>
              <w:spacing w:before="20" w:after="20"/>
              <w:jc w:val="center"/>
              <w:rPr>
                <w:rFonts w:asciiTheme="minorHAnsi" w:hAnsiTheme="minorHAnsi" w:cstheme="minorHAnsi"/>
                <w:sz w:val="22"/>
                <w:szCs w:val="22"/>
              </w:rPr>
            </w:pPr>
          </w:p>
        </w:tc>
      </w:tr>
    </w:tbl>
    <w:p w:rsidR="00C22CDB" w:rsidRDefault="00C22CDB" w:rsidP="00C22CDB">
      <w:pPr>
        <w:rPr>
          <w:rFonts w:asciiTheme="minorHAnsi" w:hAnsiTheme="minorHAnsi" w:cstheme="minorHAnsi"/>
          <w:sz w:val="20"/>
          <w:szCs w:val="22"/>
        </w:rPr>
      </w:pPr>
      <w:r w:rsidRPr="00031F67">
        <w:rPr>
          <w:rFonts w:asciiTheme="minorHAnsi" w:hAnsiTheme="minorHAnsi" w:cstheme="minorHAnsi"/>
          <w:sz w:val="20"/>
          <w:szCs w:val="22"/>
        </w:rPr>
        <w:t>Key (as applicable) F = Formulary,</w:t>
      </w:r>
      <w:r w:rsidR="00A364C8">
        <w:rPr>
          <w:rFonts w:asciiTheme="minorHAnsi" w:hAnsiTheme="minorHAnsi" w:cstheme="minorHAnsi"/>
          <w:sz w:val="20"/>
          <w:szCs w:val="22"/>
        </w:rPr>
        <w:t xml:space="preserve"> no restrictions</w:t>
      </w:r>
      <w:r w:rsidRPr="00031F67">
        <w:rPr>
          <w:rFonts w:asciiTheme="minorHAnsi" w:hAnsiTheme="minorHAnsi" w:cstheme="minorHAnsi"/>
          <w:sz w:val="20"/>
          <w:szCs w:val="22"/>
        </w:rPr>
        <w:t xml:space="preserve">; F-QL = Formulary, quantity limit applies; F-AL = Formulary, age limit applies; F-ST = Formulary, step therapy applies; F-PA = Formulary, PA </w:t>
      </w:r>
      <w:r w:rsidR="00A364C8" w:rsidRPr="00031F67">
        <w:rPr>
          <w:rFonts w:asciiTheme="minorHAnsi" w:hAnsiTheme="minorHAnsi" w:cstheme="minorHAnsi"/>
          <w:sz w:val="20"/>
          <w:szCs w:val="22"/>
        </w:rPr>
        <w:t>required;</w:t>
      </w:r>
      <w:r w:rsidRPr="00031F67">
        <w:rPr>
          <w:rFonts w:asciiTheme="minorHAnsi" w:hAnsiTheme="minorHAnsi" w:cstheme="minorHAnsi"/>
          <w:sz w:val="20"/>
          <w:szCs w:val="22"/>
        </w:rPr>
        <w:t xml:space="preserve"> NF = Non-formulary; X = Excluded </w:t>
      </w:r>
    </w:p>
    <w:p w:rsidR="00EB7790" w:rsidRPr="0077735B" w:rsidRDefault="00EB7790" w:rsidP="00C22CDB">
      <w:pPr>
        <w:rPr>
          <w:rFonts w:asciiTheme="minorHAnsi" w:hAnsiTheme="minorHAnsi" w:cstheme="minorHAnsi"/>
          <w:sz w:val="18"/>
          <w:szCs w:val="22"/>
        </w:rPr>
      </w:pPr>
      <w:r w:rsidRPr="0077735B">
        <w:rPr>
          <w:rFonts w:asciiTheme="minorHAnsi" w:hAnsiTheme="minorHAnsi" w:cstheme="minorHAnsi"/>
          <w:sz w:val="20"/>
          <w:szCs w:val="22"/>
          <w:vertAlign w:val="superscript"/>
        </w:rPr>
        <w:t>¥</w:t>
      </w:r>
      <w:r w:rsidRPr="0077735B">
        <w:rPr>
          <w:rFonts w:asciiTheme="minorHAnsi" w:hAnsiTheme="minorHAnsi" w:cstheme="minorHAnsi"/>
          <w:sz w:val="20"/>
          <w:szCs w:val="22"/>
        </w:rPr>
        <w:t xml:space="preserve"> = Members under 21 years are limited to a 14 day supply </w:t>
      </w:r>
    </w:p>
    <w:p w:rsidR="00774921" w:rsidRDefault="00774921" w:rsidP="00756BB7">
      <w:pPr>
        <w:pBdr>
          <w:bottom w:val="single" w:sz="4" w:space="1" w:color="auto"/>
        </w:pBdr>
        <w:rPr>
          <w:rFonts w:asciiTheme="minorHAnsi" w:hAnsiTheme="minorHAnsi" w:cstheme="minorHAnsi"/>
          <w:b/>
          <w:sz w:val="22"/>
          <w:szCs w:val="22"/>
        </w:rPr>
      </w:pPr>
    </w:p>
    <w:p w:rsidR="00175926" w:rsidRPr="0046510C" w:rsidRDefault="00175926" w:rsidP="00756BB7">
      <w:pPr>
        <w:pBdr>
          <w:bottom w:val="single" w:sz="4" w:space="1" w:color="auto"/>
        </w:pBdr>
        <w:rPr>
          <w:rFonts w:asciiTheme="majorHAnsi" w:hAnsiTheme="majorHAnsi" w:cstheme="minorHAnsi"/>
          <w:b/>
          <w:sz w:val="22"/>
          <w:szCs w:val="22"/>
        </w:rPr>
      </w:pPr>
      <w:r w:rsidRPr="0046510C">
        <w:rPr>
          <w:rFonts w:asciiTheme="majorHAnsi" w:hAnsiTheme="majorHAnsi" w:cstheme="minorHAnsi"/>
          <w:b/>
          <w:sz w:val="22"/>
          <w:szCs w:val="22"/>
        </w:rPr>
        <w:t>CLINICAL SUMMARY</w:t>
      </w:r>
    </w:p>
    <w:p w:rsidR="00533C60" w:rsidRPr="002477B2" w:rsidRDefault="00533C60" w:rsidP="00533C60">
      <w:pPr>
        <w:jc w:val="both"/>
        <w:rPr>
          <w:rFonts w:ascii="Calibri" w:hAnsi="Calibri" w:cs="Calibri"/>
          <w:sz w:val="22"/>
          <w:szCs w:val="22"/>
        </w:rPr>
      </w:pPr>
      <w:r w:rsidRPr="002477B2">
        <w:rPr>
          <w:rFonts w:ascii="Calibri" w:hAnsi="Calibri" w:cs="Calibri"/>
          <w:sz w:val="22"/>
          <w:szCs w:val="22"/>
        </w:rPr>
        <w:t xml:space="preserve">Benign prostatic hyperplasia (BPH) is a common cause of urinary dysfunction in elderly men and progressively increases in frequency in men older than 50 years old. BPH is characterized by the enlargement of the prostate gland.  Since the urethra passes through the center of the prostate, men will experience urinary issues as the enlarged prostate begins to block urine flow.  Men with BPH usually present with lower urinary tract symptoms (LUTS) that include issues associated with storing/voiding urine. Storage symptoms involve increased daytime frequency, nocturia, urgency, and urinary continence.  Voiding symptoms include, slow urinary stream, splitting or spraying of urinary stream, hesitancy, straining to void, and terminal dribbling.  Patients can also present with irritative symptoms such as frequent urination and urinary urgency.  </w:t>
      </w:r>
    </w:p>
    <w:p w:rsidR="00533C60" w:rsidRDefault="00533C60" w:rsidP="00533C60">
      <w:pPr>
        <w:jc w:val="both"/>
        <w:rPr>
          <w:rFonts w:ascii="Calibri" w:hAnsi="Calibri" w:cs="Calibri"/>
          <w:sz w:val="22"/>
          <w:szCs w:val="22"/>
        </w:rPr>
      </w:pPr>
    </w:p>
    <w:p w:rsidR="00533C60" w:rsidRPr="002477B2" w:rsidRDefault="00533C60" w:rsidP="00533C60">
      <w:pPr>
        <w:jc w:val="both"/>
        <w:rPr>
          <w:rFonts w:ascii="Calibri" w:hAnsi="Calibri" w:cs="Calibri"/>
          <w:sz w:val="22"/>
          <w:szCs w:val="22"/>
        </w:rPr>
      </w:pPr>
      <w:r w:rsidRPr="002477B2">
        <w:rPr>
          <w:rFonts w:ascii="Calibri" w:hAnsi="Calibri" w:cs="Calibri"/>
          <w:sz w:val="22"/>
          <w:szCs w:val="22"/>
        </w:rPr>
        <w:t xml:space="preserve">In patients with mild (IPSS&lt;8) to moderate symptoms (IPSS 8-19), alpha-1-adrenergic antagonist monotherapy is first-line.  Treatment requires 6-12 months before symptoms begin to improve and all alpha-1-antagonists have similar efficacy.  These agents include terazosin, </w:t>
      </w:r>
      <w:r w:rsidRPr="009C1060">
        <w:rPr>
          <w:rFonts w:ascii="Calibri" w:hAnsi="Calibri" w:cs="Calibri"/>
          <w:sz w:val="22"/>
          <w:szCs w:val="22"/>
        </w:rPr>
        <w:t>Cardura</w:t>
      </w:r>
      <w:r>
        <w:rPr>
          <w:rFonts w:ascii="Calibri" w:hAnsi="Calibri" w:cs="Calibri"/>
          <w:sz w:val="22"/>
          <w:szCs w:val="22"/>
        </w:rPr>
        <w:t>/Cardura XL (</w:t>
      </w:r>
      <w:r w:rsidRPr="002477B2">
        <w:rPr>
          <w:rFonts w:ascii="Calibri" w:hAnsi="Calibri" w:cs="Calibri"/>
          <w:sz w:val="22"/>
          <w:szCs w:val="22"/>
        </w:rPr>
        <w:t>doxazosin</w:t>
      </w:r>
      <w:r>
        <w:rPr>
          <w:rFonts w:ascii="Calibri" w:hAnsi="Calibri" w:cs="Calibri"/>
          <w:sz w:val="22"/>
          <w:szCs w:val="22"/>
        </w:rPr>
        <w:t>)</w:t>
      </w:r>
      <w:r w:rsidRPr="002477B2">
        <w:rPr>
          <w:rFonts w:ascii="Calibri" w:hAnsi="Calibri" w:cs="Calibri"/>
          <w:sz w:val="22"/>
          <w:szCs w:val="22"/>
        </w:rPr>
        <w:t xml:space="preserve">, </w:t>
      </w:r>
      <w:r w:rsidRPr="009C1060">
        <w:rPr>
          <w:rFonts w:ascii="Calibri" w:hAnsi="Calibri" w:cs="Calibri"/>
          <w:sz w:val="22"/>
          <w:szCs w:val="22"/>
        </w:rPr>
        <w:t xml:space="preserve">Flomax </w:t>
      </w:r>
      <w:r>
        <w:rPr>
          <w:rFonts w:ascii="Calibri" w:hAnsi="Calibri" w:cs="Calibri"/>
          <w:sz w:val="22"/>
          <w:szCs w:val="22"/>
        </w:rPr>
        <w:t>(</w:t>
      </w:r>
      <w:r w:rsidRPr="002477B2">
        <w:rPr>
          <w:rFonts w:ascii="Calibri" w:hAnsi="Calibri" w:cs="Calibri"/>
          <w:sz w:val="22"/>
          <w:szCs w:val="22"/>
        </w:rPr>
        <w:t>tamsulosin</w:t>
      </w:r>
      <w:r>
        <w:rPr>
          <w:rFonts w:ascii="Calibri" w:hAnsi="Calibri" w:cs="Calibri"/>
          <w:sz w:val="22"/>
          <w:szCs w:val="22"/>
        </w:rPr>
        <w:t>)</w:t>
      </w:r>
      <w:r w:rsidRPr="002477B2">
        <w:rPr>
          <w:rFonts w:ascii="Calibri" w:hAnsi="Calibri" w:cs="Calibri"/>
          <w:sz w:val="22"/>
          <w:szCs w:val="22"/>
        </w:rPr>
        <w:t xml:space="preserve">, </w:t>
      </w:r>
      <w:r w:rsidRPr="009C1060">
        <w:rPr>
          <w:rFonts w:ascii="Calibri" w:hAnsi="Calibri" w:cs="Calibri"/>
          <w:sz w:val="22"/>
          <w:szCs w:val="22"/>
        </w:rPr>
        <w:t xml:space="preserve">Uroxatral </w:t>
      </w:r>
      <w:r>
        <w:rPr>
          <w:rFonts w:ascii="Calibri" w:hAnsi="Calibri" w:cs="Calibri"/>
          <w:sz w:val="22"/>
          <w:szCs w:val="22"/>
        </w:rPr>
        <w:t>(</w:t>
      </w:r>
      <w:r w:rsidRPr="002477B2">
        <w:rPr>
          <w:rFonts w:ascii="Calibri" w:hAnsi="Calibri" w:cs="Calibri"/>
          <w:sz w:val="22"/>
          <w:szCs w:val="22"/>
        </w:rPr>
        <w:t>alfuzosin</w:t>
      </w:r>
      <w:r>
        <w:rPr>
          <w:rFonts w:ascii="Calibri" w:hAnsi="Calibri" w:cs="Calibri"/>
          <w:sz w:val="22"/>
          <w:szCs w:val="22"/>
        </w:rPr>
        <w:t>)</w:t>
      </w:r>
      <w:r w:rsidRPr="002477B2">
        <w:rPr>
          <w:rFonts w:ascii="Calibri" w:hAnsi="Calibri" w:cs="Calibri"/>
          <w:sz w:val="22"/>
          <w:szCs w:val="22"/>
        </w:rPr>
        <w:t xml:space="preserve">, and </w:t>
      </w:r>
      <w:r w:rsidRPr="009C1060">
        <w:rPr>
          <w:rFonts w:ascii="Calibri" w:hAnsi="Calibri" w:cs="Calibri"/>
          <w:sz w:val="22"/>
          <w:szCs w:val="22"/>
        </w:rPr>
        <w:t xml:space="preserve">Rapaflo </w:t>
      </w:r>
      <w:r>
        <w:rPr>
          <w:rFonts w:ascii="Calibri" w:hAnsi="Calibri" w:cs="Calibri"/>
          <w:sz w:val="22"/>
          <w:szCs w:val="22"/>
        </w:rPr>
        <w:t>(</w:t>
      </w:r>
      <w:r w:rsidRPr="002477B2">
        <w:rPr>
          <w:rFonts w:ascii="Calibri" w:hAnsi="Calibri" w:cs="Calibri"/>
          <w:sz w:val="22"/>
          <w:szCs w:val="22"/>
        </w:rPr>
        <w:t>silodosin</w:t>
      </w:r>
      <w:r>
        <w:rPr>
          <w:rFonts w:ascii="Calibri" w:hAnsi="Calibri" w:cs="Calibri"/>
          <w:sz w:val="22"/>
          <w:szCs w:val="22"/>
        </w:rPr>
        <w:t>)</w:t>
      </w:r>
      <w:r w:rsidRPr="002477B2">
        <w:rPr>
          <w:rFonts w:ascii="Calibri" w:hAnsi="Calibri" w:cs="Calibri"/>
          <w:sz w:val="22"/>
          <w:szCs w:val="22"/>
        </w:rPr>
        <w:t xml:space="preserve">.  </w:t>
      </w:r>
      <w:r w:rsidRPr="009C1060">
        <w:rPr>
          <w:rFonts w:ascii="Calibri" w:hAnsi="Calibri" w:cs="Calibri"/>
          <w:sz w:val="22"/>
          <w:szCs w:val="22"/>
        </w:rPr>
        <w:t xml:space="preserve">Rapaflo </w:t>
      </w:r>
      <w:r>
        <w:rPr>
          <w:rFonts w:ascii="Calibri" w:hAnsi="Calibri" w:cs="Calibri"/>
          <w:sz w:val="22"/>
          <w:szCs w:val="22"/>
        </w:rPr>
        <w:t>(s</w:t>
      </w:r>
      <w:r w:rsidRPr="002477B2">
        <w:rPr>
          <w:rFonts w:ascii="Calibri" w:hAnsi="Calibri" w:cs="Calibri"/>
          <w:sz w:val="22"/>
          <w:szCs w:val="22"/>
        </w:rPr>
        <w:t>ilodosin</w:t>
      </w:r>
      <w:r>
        <w:rPr>
          <w:rFonts w:ascii="Calibri" w:hAnsi="Calibri" w:cs="Calibri"/>
          <w:sz w:val="22"/>
          <w:szCs w:val="22"/>
        </w:rPr>
        <w:t>)</w:t>
      </w:r>
      <w:r w:rsidRPr="002477B2">
        <w:rPr>
          <w:rFonts w:ascii="Calibri" w:hAnsi="Calibri" w:cs="Calibri"/>
          <w:sz w:val="22"/>
          <w:szCs w:val="22"/>
        </w:rPr>
        <w:t xml:space="preserve"> was approved after the AUA guidelines were created and is not mentioned in the </w:t>
      </w:r>
      <w:r w:rsidRPr="002477B2">
        <w:rPr>
          <w:rFonts w:ascii="Calibri" w:hAnsi="Calibri" w:cs="Calibri"/>
          <w:sz w:val="22"/>
          <w:szCs w:val="22"/>
        </w:rPr>
        <w:lastRenderedPageBreak/>
        <w:t xml:space="preserve">guidelines.  Medication choice will depend on cost, side effects, and drug interactions.  The most important side-effects are dizziness and orthostatic hypotension; therefore, titrations of some agents are necessary to avoid hypotension.  </w:t>
      </w:r>
      <w:r w:rsidRPr="009C1060">
        <w:rPr>
          <w:rFonts w:ascii="Calibri" w:hAnsi="Calibri" w:cs="Calibri"/>
          <w:sz w:val="22"/>
          <w:szCs w:val="22"/>
        </w:rPr>
        <w:t xml:space="preserve">Flomax </w:t>
      </w:r>
      <w:r>
        <w:rPr>
          <w:rFonts w:ascii="Calibri" w:hAnsi="Calibri" w:cs="Calibri"/>
          <w:sz w:val="22"/>
          <w:szCs w:val="22"/>
        </w:rPr>
        <w:t>(</w:t>
      </w:r>
      <w:r w:rsidRPr="002477B2">
        <w:rPr>
          <w:rFonts w:ascii="Calibri" w:hAnsi="Calibri" w:cs="Calibri"/>
          <w:sz w:val="22"/>
          <w:szCs w:val="22"/>
        </w:rPr>
        <w:t>tamsulosin</w:t>
      </w:r>
      <w:r>
        <w:rPr>
          <w:rFonts w:ascii="Calibri" w:hAnsi="Calibri" w:cs="Calibri"/>
          <w:sz w:val="22"/>
          <w:szCs w:val="22"/>
        </w:rPr>
        <w:t>)</w:t>
      </w:r>
      <w:r w:rsidRPr="002477B2">
        <w:rPr>
          <w:rFonts w:ascii="Calibri" w:hAnsi="Calibri" w:cs="Calibri"/>
          <w:sz w:val="22"/>
          <w:szCs w:val="22"/>
        </w:rPr>
        <w:t>,</w:t>
      </w:r>
      <w:r>
        <w:rPr>
          <w:rFonts w:ascii="Calibri" w:hAnsi="Calibri" w:cs="Calibri"/>
          <w:sz w:val="22"/>
          <w:szCs w:val="22"/>
        </w:rPr>
        <w:t xml:space="preserve"> </w:t>
      </w:r>
      <w:r w:rsidRPr="009C1060">
        <w:rPr>
          <w:rFonts w:ascii="Calibri" w:hAnsi="Calibri" w:cs="Calibri"/>
          <w:sz w:val="22"/>
          <w:szCs w:val="22"/>
        </w:rPr>
        <w:t xml:space="preserve">Uroxatral </w:t>
      </w:r>
      <w:r>
        <w:rPr>
          <w:rFonts w:ascii="Calibri" w:hAnsi="Calibri" w:cs="Calibri"/>
          <w:sz w:val="22"/>
          <w:szCs w:val="22"/>
        </w:rPr>
        <w:t>(</w:t>
      </w:r>
      <w:r w:rsidRPr="002477B2">
        <w:rPr>
          <w:rFonts w:ascii="Calibri" w:hAnsi="Calibri" w:cs="Calibri"/>
          <w:sz w:val="22"/>
          <w:szCs w:val="22"/>
        </w:rPr>
        <w:t>alfuzosin</w:t>
      </w:r>
      <w:r>
        <w:rPr>
          <w:rFonts w:ascii="Calibri" w:hAnsi="Calibri" w:cs="Calibri"/>
          <w:sz w:val="22"/>
          <w:szCs w:val="22"/>
        </w:rPr>
        <w:t>)</w:t>
      </w:r>
      <w:r w:rsidRPr="002477B2">
        <w:rPr>
          <w:rFonts w:ascii="Calibri" w:hAnsi="Calibri" w:cs="Calibri"/>
          <w:sz w:val="22"/>
          <w:szCs w:val="22"/>
        </w:rPr>
        <w:t xml:space="preserve">, and </w:t>
      </w:r>
      <w:r w:rsidRPr="009C1060">
        <w:rPr>
          <w:rFonts w:ascii="Calibri" w:hAnsi="Calibri" w:cs="Calibri"/>
          <w:sz w:val="22"/>
          <w:szCs w:val="22"/>
        </w:rPr>
        <w:t xml:space="preserve">Rapaflo </w:t>
      </w:r>
      <w:r>
        <w:rPr>
          <w:rFonts w:ascii="Calibri" w:hAnsi="Calibri" w:cs="Calibri"/>
          <w:sz w:val="22"/>
          <w:szCs w:val="22"/>
        </w:rPr>
        <w:t>(s</w:t>
      </w:r>
      <w:r w:rsidRPr="002477B2">
        <w:rPr>
          <w:rFonts w:ascii="Calibri" w:hAnsi="Calibri" w:cs="Calibri"/>
          <w:sz w:val="22"/>
          <w:szCs w:val="22"/>
        </w:rPr>
        <w:t>ilodosin</w:t>
      </w:r>
      <w:r>
        <w:rPr>
          <w:rFonts w:ascii="Calibri" w:hAnsi="Calibri" w:cs="Calibri"/>
          <w:sz w:val="22"/>
          <w:szCs w:val="22"/>
        </w:rPr>
        <w:t>)</w:t>
      </w:r>
      <w:r w:rsidRPr="002477B2">
        <w:rPr>
          <w:rFonts w:ascii="Calibri" w:hAnsi="Calibri" w:cs="Calibri"/>
          <w:sz w:val="22"/>
          <w:szCs w:val="22"/>
        </w:rPr>
        <w:t xml:space="preserve"> are uroselective and have lower risk of orthostatic hypotension. For patients who cannot tolerate these agents, 5-alpha-reductase inhibitors (5-ARIs), </w:t>
      </w:r>
      <w:r>
        <w:rPr>
          <w:rFonts w:ascii="Calibri" w:hAnsi="Calibri" w:cs="Calibri"/>
          <w:sz w:val="22"/>
          <w:szCs w:val="22"/>
        </w:rPr>
        <w:t>Proscar</w:t>
      </w:r>
      <w:r w:rsidRPr="002477B2">
        <w:rPr>
          <w:rFonts w:ascii="Calibri" w:hAnsi="Calibri" w:cs="Calibri"/>
          <w:sz w:val="22"/>
          <w:szCs w:val="22"/>
        </w:rPr>
        <w:t xml:space="preserve"> </w:t>
      </w:r>
      <w:r>
        <w:rPr>
          <w:rFonts w:ascii="Calibri" w:hAnsi="Calibri" w:cs="Calibri"/>
          <w:sz w:val="22"/>
          <w:szCs w:val="22"/>
        </w:rPr>
        <w:t>(</w:t>
      </w:r>
      <w:r w:rsidRPr="002477B2">
        <w:rPr>
          <w:rFonts w:ascii="Calibri" w:hAnsi="Calibri" w:cs="Calibri"/>
          <w:sz w:val="22"/>
          <w:szCs w:val="22"/>
        </w:rPr>
        <w:t>finasteride</w:t>
      </w:r>
      <w:r>
        <w:rPr>
          <w:rFonts w:ascii="Calibri" w:hAnsi="Calibri" w:cs="Calibri"/>
          <w:sz w:val="22"/>
          <w:szCs w:val="22"/>
        </w:rPr>
        <w:t>)</w:t>
      </w:r>
      <w:r w:rsidRPr="002477B2">
        <w:rPr>
          <w:rFonts w:ascii="Calibri" w:hAnsi="Calibri" w:cs="Calibri"/>
          <w:sz w:val="22"/>
          <w:szCs w:val="22"/>
        </w:rPr>
        <w:t xml:space="preserve"> and </w:t>
      </w:r>
      <w:r>
        <w:rPr>
          <w:rFonts w:ascii="Calibri" w:hAnsi="Calibri" w:cs="Calibri"/>
          <w:sz w:val="22"/>
          <w:szCs w:val="22"/>
        </w:rPr>
        <w:t>Avodart (</w:t>
      </w:r>
      <w:r w:rsidRPr="002477B2">
        <w:rPr>
          <w:rFonts w:ascii="Calibri" w:hAnsi="Calibri" w:cs="Calibri"/>
          <w:sz w:val="22"/>
          <w:szCs w:val="22"/>
        </w:rPr>
        <w:t>dutasteride</w:t>
      </w:r>
      <w:r>
        <w:rPr>
          <w:rFonts w:ascii="Calibri" w:hAnsi="Calibri" w:cs="Calibri"/>
          <w:sz w:val="22"/>
          <w:szCs w:val="22"/>
        </w:rPr>
        <w:t>)</w:t>
      </w:r>
      <w:r w:rsidRPr="002477B2">
        <w:rPr>
          <w:rFonts w:ascii="Calibri" w:hAnsi="Calibri" w:cs="Calibri"/>
          <w:sz w:val="22"/>
          <w:szCs w:val="22"/>
        </w:rPr>
        <w:t xml:space="preserve">, are second-line.  They should not be used in men without prostate enlargement.  No data suggests that the clinical efficacy of the two 5-ARIs is different. </w:t>
      </w:r>
    </w:p>
    <w:p w:rsidR="00533C60" w:rsidRDefault="00533C60" w:rsidP="00533C60">
      <w:pPr>
        <w:jc w:val="both"/>
        <w:rPr>
          <w:rFonts w:ascii="Calibri" w:hAnsi="Calibri" w:cs="Calibri"/>
          <w:sz w:val="22"/>
          <w:szCs w:val="22"/>
        </w:rPr>
      </w:pPr>
    </w:p>
    <w:p w:rsidR="00533C60" w:rsidRPr="002477B2" w:rsidRDefault="00533C60" w:rsidP="00533C60">
      <w:pPr>
        <w:jc w:val="both"/>
        <w:rPr>
          <w:rFonts w:ascii="Calibri" w:hAnsi="Calibri" w:cs="Calibri"/>
          <w:sz w:val="22"/>
          <w:szCs w:val="22"/>
        </w:rPr>
      </w:pPr>
      <w:r w:rsidRPr="002477B2">
        <w:rPr>
          <w:rFonts w:ascii="Calibri" w:hAnsi="Calibri" w:cs="Calibri"/>
          <w:sz w:val="22"/>
          <w:szCs w:val="22"/>
        </w:rPr>
        <w:t xml:space="preserve">Patients with predominantly irritative symptoms can try anticholinergic agents as monotherapy or in combination with alpha-adrenergic agents.  Patients with severe symptoms (IPSS ≥20) or inadequate responses to first-line alpha-adrenergic antagonists are recommended to use combination therapy (alpha-1 adrenergic antagonist + 5-alpha-reductase inhibitor OR alpha-1-adrenergic antagonist + anticholinergic).  For those patients who have erectile dysfunction (ED) and mild-to-moderate symptoms (IPSS&lt;20), PDE-5 inhibitors can be considered.  </w:t>
      </w:r>
      <w:r>
        <w:rPr>
          <w:rFonts w:ascii="Calibri" w:hAnsi="Calibri" w:cs="Calibri"/>
          <w:sz w:val="22"/>
          <w:szCs w:val="22"/>
        </w:rPr>
        <w:t>Cialis (t</w:t>
      </w:r>
      <w:r w:rsidRPr="002477B2">
        <w:rPr>
          <w:rFonts w:ascii="Calibri" w:hAnsi="Calibri" w:cs="Calibri"/>
          <w:sz w:val="22"/>
          <w:szCs w:val="22"/>
        </w:rPr>
        <w:t>adalafil</w:t>
      </w:r>
      <w:r>
        <w:rPr>
          <w:rFonts w:ascii="Calibri" w:hAnsi="Calibri" w:cs="Calibri"/>
          <w:sz w:val="22"/>
          <w:szCs w:val="22"/>
        </w:rPr>
        <w:t>)</w:t>
      </w:r>
      <w:r w:rsidRPr="002477B2">
        <w:rPr>
          <w:rFonts w:ascii="Calibri" w:hAnsi="Calibri" w:cs="Calibri"/>
          <w:sz w:val="22"/>
          <w:szCs w:val="22"/>
        </w:rPr>
        <w:t xml:space="preserve"> is the only PDE-5 inhibitor that is FDA-approved for BPH or ED with BPH. </w:t>
      </w:r>
      <w:r>
        <w:rPr>
          <w:rFonts w:ascii="Calibri" w:hAnsi="Calibri" w:cs="Calibri"/>
          <w:sz w:val="22"/>
          <w:szCs w:val="22"/>
        </w:rPr>
        <w:t>Cialis (t</w:t>
      </w:r>
      <w:r w:rsidRPr="002477B2">
        <w:rPr>
          <w:rFonts w:ascii="Calibri" w:hAnsi="Calibri" w:cs="Calibri"/>
          <w:sz w:val="22"/>
          <w:szCs w:val="22"/>
        </w:rPr>
        <w:t>adalafil</w:t>
      </w:r>
      <w:r>
        <w:rPr>
          <w:rFonts w:ascii="Calibri" w:hAnsi="Calibri" w:cs="Calibri"/>
          <w:sz w:val="22"/>
          <w:szCs w:val="22"/>
        </w:rPr>
        <w:t>)</w:t>
      </w:r>
      <w:r w:rsidRPr="002477B2">
        <w:rPr>
          <w:rFonts w:ascii="Calibri" w:hAnsi="Calibri" w:cs="Calibri"/>
          <w:sz w:val="22"/>
          <w:szCs w:val="22"/>
        </w:rPr>
        <w:t xml:space="preserve"> can be taken with </w:t>
      </w:r>
      <w:r>
        <w:rPr>
          <w:rFonts w:ascii="Calibri" w:hAnsi="Calibri" w:cs="Calibri"/>
          <w:sz w:val="22"/>
          <w:szCs w:val="22"/>
        </w:rPr>
        <w:t>Proscar (</w:t>
      </w:r>
      <w:r w:rsidRPr="002477B2">
        <w:rPr>
          <w:rFonts w:ascii="Calibri" w:hAnsi="Calibri" w:cs="Calibri"/>
          <w:sz w:val="22"/>
          <w:szCs w:val="22"/>
        </w:rPr>
        <w:t>finasteride</w:t>
      </w:r>
      <w:r>
        <w:rPr>
          <w:rFonts w:ascii="Calibri" w:hAnsi="Calibri" w:cs="Calibri"/>
          <w:sz w:val="22"/>
          <w:szCs w:val="22"/>
        </w:rPr>
        <w:t>)</w:t>
      </w:r>
      <w:r w:rsidRPr="002477B2">
        <w:rPr>
          <w:rFonts w:ascii="Calibri" w:hAnsi="Calibri" w:cs="Calibri"/>
          <w:sz w:val="22"/>
          <w:szCs w:val="22"/>
        </w:rPr>
        <w:t xml:space="preserve"> for 26 weeks or less. </w:t>
      </w:r>
      <w:r>
        <w:rPr>
          <w:rFonts w:ascii="Calibri" w:hAnsi="Calibri" w:cs="Calibri"/>
          <w:sz w:val="22"/>
          <w:szCs w:val="22"/>
        </w:rPr>
        <w:t xml:space="preserve"> </w:t>
      </w:r>
      <w:r w:rsidRPr="002477B2">
        <w:rPr>
          <w:rFonts w:ascii="Calibri" w:hAnsi="Calibri" w:cs="Calibri"/>
          <w:sz w:val="22"/>
          <w:szCs w:val="22"/>
        </w:rPr>
        <w:t xml:space="preserve">AUA does not recommend Prazosin or phenoxybenzamine since data were insufficient to support their use. </w:t>
      </w:r>
    </w:p>
    <w:p w:rsidR="00031F67" w:rsidRPr="00031F67" w:rsidRDefault="00031F67" w:rsidP="00031F67">
      <w:pPr>
        <w:rPr>
          <w:rFonts w:asciiTheme="minorHAnsi" w:hAnsiTheme="minorHAnsi" w:cstheme="minorHAnsi"/>
          <w:b/>
          <w:sz w:val="22"/>
          <w:szCs w:val="22"/>
        </w:rPr>
      </w:pPr>
    </w:p>
    <w:p w:rsidR="00031F67" w:rsidRPr="0046510C" w:rsidRDefault="00031F67" w:rsidP="00031F67">
      <w:pPr>
        <w:rPr>
          <w:rFonts w:asciiTheme="majorHAnsi" w:hAnsiTheme="majorHAnsi" w:cstheme="minorHAnsi"/>
          <w:b/>
          <w:sz w:val="22"/>
          <w:szCs w:val="22"/>
        </w:rPr>
      </w:pPr>
      <w:r w:rsidRPr="0046510C">
        <w:rPr>
          <w:rFonts w:asciiTheme="majorHAnsi" w:hAnsiTheme="majorHAnsi" w:cstheme="minorHAnsi"/>
          <w:b/>
          <w:sz w:val="22"/>
          <w:szCs w:val="22"/>
        </w:rPr>
        <w:t>INDICATIONS, DOSING and ADMINISTRATION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3983"/>
        <w:gridCol w:w="4221"/>
      </w:tblGrid>
      <w:tr w:rsidR="00031F67" w:rsidRPr="00031F67" w:rsidTr="006F1E56">
        <w:trPr>
          <w:tblHeader/>
        </w:trPr>
        <w:tc>
          <w:tcPr>
            <w:tcW w:w="1276" w:type="pct"/>
            <w:shd w:val="clear" w:color="auto" w:fill="7E0000"/>
          </w:tcPr>
          <w:p w:rsidR="00031F67" w:rsidRPr="00B569FA" w:rsidRDefault="00031F67" w:rsidP="00C95E8D">
            <w:pPr>
              <w:rPr>
                <w:rFonts w:asciiTheme="minorHAnsi" w:hAnsiTheme="minorHAnsi" w:cstheme="minorHAnsi"/>
                <w:b/>
                <w:color w:val="FFFFFF" w:themeColor="background1"/>
                <w:sz w:val="22"/>
                <w:szCs w:val="22"/>
              </w:rPr>
            </w:pPr>
            <w:r w:rsidRPr="00B569FA">
              <w:rPr>
                <w:rFonts w:asciiTheme="minorHAnsi" w:hAnsiTheme="minorHAnsi" w:cstheme="minorHAnsi"/>
                <w:b/>
                <w:color w:val="FFFFFF" w:themeColor="background1"/>
                <w:sz w:val="22"/>
                <w:szCs w:val="22"/>
              </w:rPr>
              <w:t>Medication</w:t>
            </w:r>
          </w:p>
        </w:tc>
        <w:tc>
          <w:tcPr>
            <w:tcW w:w="1808" w:type="pct"/>
            <w:shd w:val="clear" w:color="auto" w:fill="7E0000"/>
          </w:tcPr>
          <w:p w:rsidR="00031F67" w:rsidRPr="00B569FA" w:rsidRDefault="00031F67" w:rsidP="00C95E8D">
            <w:pPr>
              <w:rPr>
                <w:rFonts w:asciiTheme="minorHAnsi" w:hAnsiTheme="minorHAnsi" w:cstheme="minorHAnsi"/>
                <w:b/>
                <w:color w:val="FFFFFF" w:themeColor="background1"/>
                <w:sz w:val="22"/>
                <w:szCs w:val="22"/>
              </w:rPr>
            </w:pPr>
            <w:r w:rsidRPr="00B569FA">
              <w:rPr>
                <w:rFonts w:asciiTheme="minorHAnsi" w:hAnsiTheme="minorHAnsi" w:cstheme="minorHAnsi"/>
                <w:b/>
                <w:color w:val="FFFFFF" w:themeColor="background1"/>
                <w:sz w:val="22"/>
                <w:szCs w:val="22"/>
              </w:rPr>
              <w:t>Indications</w:t>
            </w:r>
          </w:p>
        </w:tc>
        <w:tc>
          <w:tcPr>
            <w:tcW w:w="1916" w:type="pct"/>
            <w:shd w:val="clear" w:color="auto" w:fill="7E0000"/>
          </w:tcPr>
          <w:p w:rsidR="00031F67" w:rsidRPr="00B569FA" w:rsidRDefault="00031F67" w:rsidP="00C95E8D">
            <w:pPr>
              <w:rPr>
                <w:rFonts w:asciiTheme="minorHAnsi" w:hAnsiTheme="minorHAnsi" w:cstheme="minorHAnsi"/>
                <w:b/>
                <w:color w:val="FFFFFF" w:themeColor="background1"/>
                <w:sz w:val="22"/>
                <w:szCs w:val="22"/>
              </w:rPr>
            </w:pPr>
            <w:r w:rsidRPr="00B569FA">
              <w:rPr>
                <w:rFonts w:asciiTheme="minorHAnsi" w:hAnsiTheme="minorHAnsi" w:cstheme="minorHAnsi"/>
                <w:b/>
                <w:color w:val="FFFFFF" w:themeColor="background1"/>
                <w:sz w:val="22"/>
                <w:szCs w:val="22"/>
              </w:rPr>
              <w:t>Dosing/Administration</w:t>
            </w:r>
          </w:p>
        </w:tc>
      </w:tr>
      <w:tr w:rsidR="006F1E56" w:rsidRPr="00031F67" w:rsidTr="00EF715A">
        <w:trPr>
          <w:trHeight w:val="350"/>
          <w:tblHeader/>
        </w:trPr>
        <w:tc>
          <w:tcPr>
            <w:tcW w:w="5000" w:type="pct"/>
            <w:gridSpan w:val="3"/>
            <w:shd w:val="clear" w:color="auto" w:fill="EEECE1" w:themeFill="background2"/>
            <w:vAlign w:val="center"/>
          </w:tcPr>
          <w:p w:rsidR="006F1E56" w:rsidRPr="00B569FA" w:rsidRDefault="006F1E56" w:rsidP="006F1E56">
            <w:pPr>
              <w:jc w:val="center"/>
              <w:rPr>
                <w:rFonts w:asciiTheme="minorHAnsi" w:hAnsiTheme="minorHAnsi" w:cstheme="minorHAnsi"/>
                <w:b/>
                <w:color w:val="FFFFFF" w:themeColor="background1"/>
                <w:sz w:val="22"/>
                <w:szCs w:val="22"/>
              </w:rPr>
            </w:pPr>
            <w:r w:rsidRPr="00C67AA9">
              <w:rPr>
                <w:rFonts w:ascii="Calibri" w:hAnsi="Calibri" w:cs="Calibri"/>
                <w:b/>
                <w:color w:val="000000"/>
                <w:sz w:val="22"/>
                <w:szCs w:val="22"/>
              </w:rPr>
              <w:t>Alpha-</w:t>
            </w:r>
            <w:r>
              <w:rPr>
                <w:rFonts w:ascii="Calibri" w:hAnsi="Calibri" w:cs="Calibri"/>
                <w:b/>
                <w:color w:val="000000"/>
                <w:sz w:val="22"/>
                <w:szCs w:val="22"/>
              </w:rPr>
              <w:t>Adrenergic Blocking A</w:t>
            </w:r>
            <w:r w:rsidRPr="00C67AA9">
              <w:rPr>
                <w:rFonts w:ascii="Calibri" w:hAnsi="Calibri" w:cs="Calibri"/>
                <w:b/>
                <w:color w:val="000000"/>
                <w:sz w:val="22"/>
                <w:szCs w:val="22"/>
              </w:rPr>
              <w:t>gent</w:t>
            </w:r>
            <w:r>
              <w:rPr>
                <w:rFonts w:ascii="Calibri" w:hAnsi="Calibri" w:cs="Calibri"/>
                <w:b/>
                <w:color w:val="000000"/>
                <w:sz w:val="22"/>
                <w:szCs w:val="22"/>
              </w:rPr>
              <w:t>s</w:t>
            </w:r>
            <w:r w:rsidR="00EF4F71">
              <w:rPr>
                <w:rFonts w:ascii="Calibri" w:hAnsi="Calibri" w:cs="Calibri"/>
                <w:b/>
                <w:color w:val="000000"/>
                <w:sz w:val="22"/>
                <w:szCs w:val="22"/>
              </w:rPr>
              <w:t xml:space="preserve"> and Combinations</w:t>
            </w:r>
          </w:p>
        </w:tc>
      </w:tr>
      <w:tr w:rsidR="006F1E56" w:rsidRPr="00031F67" w:rsidTr="006F1E56">
        <w:trPr>
          <w:tblHeader/>
        </w:trPr>
        <w:tc>
          <w:tcPr>
            <w:tcW w:w="1276" w:type="pct"/>
            <w:shd w:val="clear" w:color="auto" w:fill="auto"/>
            <w:vAlign w:val="center"/>
          </w:tcPr>
          <w:p w:rsidR="006F1E56" w:rsidRPr="00BB03CF" w:rsidRDefault="006F1E56" w:rsidP="006F1E56">
            <w:pPr>
              <w:rPr>
                <w:rFonts w:ascii="Calibri" w:hAnsi="Calibri" w:cs="Calibri"/>
                <w:color w:val="000000"/>
                <w:sz w:val="22"/>
                <w:szCs w:val="22"/>
              </w:rPr>
            </w:pPr>
            <w:r>
              <w:rPr>
                <w:rFonts w:ascii="Calibri" w:hAnsi="Calibri" w:cs="Calibri"/>
                <w:color w:val="000000"/>
                <w:sz w:val="22"/>
                <w:szCs w:val="22"/>
              </w:rPr>
              <w:t xml:space="preserve">alfuzosin (Uroxatral®) </w:t>
            </w:r>
          </w:p>
        </w:tc>
        <w:tc>
          <w:tcPr>
            <w:tcW w:w="1808" w:type="pct"/>
            <w:shd w:val="clear" w:color="auto" w:fill="auto"/>
          </w:tcPr>
          <w:p w:rsidR="006F1E56" w:rsidRPr="00B569FA" w:rsidRDefault="006F1E56" w:rsidP="00C95E8D">
            <w:pPr>
              <w:rPr>
                <w:rFonts w:asciiTheme="minorHAnsi" w:hAnsiTheme="minorHAnsi" w:cstheme="minorHAnsi"/>
                <w:b/>
                <w:color w:val="FFFFFF" w:themeColor="background1"/>
                <w:sz w:val="22"/>
                <w:szCs w:val="22"/>
              </w:rPr>
            </w:pPr>
            <w:r w:rsidRPr="00606F7B">
              <w:rPr>
                <w:rFonts w:ascii="Calibri" w:hAnsi="Calibri" w:cs="Calibri"/>
                <w:sz w:val="22"/>
                <w:szCs w:val="22"/>
              </w:rPr>
              <w:t xml:space="preserve">Treatment of the signs and symptoms of </w:t>
            </w:r>
            <w:r>
              <w:rPr>
                <w:rFonts w:ascii="Calibri" w:hAnsi="Calibri" w:cs="Calibri"/>
                <w:sz w:val="22"/>
                <w:szCs w:val="22"/>
              </w:rPr>
              <w:t>BPH</w:t>
            </w:r>
          </w:p>
        </w:tc>
        <w:tc>
          <w:tcPr>
            <w:tcW w:w="1916" w:type="pct"/>
            <w:shd w:val="clear" w:color="auto" w:fill="auto"/>
          </w:tcPr>
          <w:p w:rsidR="006F1E56" w:rsidRPr="006F1E56" w:rsidRDefault="006F1E56" w:rsidP="006F1E56">
            <w:pPr>
              <w:rPr>
                <w:rFonts w:ascii="Calibri" w:hAnsi="Calibri" w:cs="Calibri"/>
                <w:sz w:val="22"/>
                <w:szCs w:val="22"/>
              </w:rPr>
            </w:pPr>
            <w:r w:rsidRPr="00606F7B">
              <w:rPr>
                <w:rFonts w:ascii="Calibri" w:hAnsi="Calibri" w:cs="Calibri"/>
                <w:sz w:val="22"/>
                <w:szCs w:val="22"/>
              </w:rPr>
              <w:t xml:space="preserve">10 mg </w:t>
            </w:r>
            <w:r>
              <w:rPr>
                <w:rFonts w:ascii="Calibri" w:hAnsi="Calibri" w:cs="Calibri"/>
                <w:sz w:val="22"/>
                <w:szCs w:val="22"/>
              </w:rPr>
              <w:t xml:space="preserve">orally </w:t>
            </w:r>
            <w:r w:rsidRPr="00606F7B">
              <w:rPr>
                <w:rFonts w:ascii="Calibri" w:hAnsi="Calibri" w:cs="Calibri"/>
                <w:sz w:val="22"/>
                <w:szCs w:val="22"/>
              </w:rPr>
              <w:t>once daily</w:t>
            </w:r>
            <w:r>
              <w:rPr>
                <w:rFonts w:ascii="Calibri" w:hAnsi="Calibri" w:cs="Calibri"/>
                <w:sz w:val="22"/>
                <w:szCs w:val="22"/>
              </w:rPr>
              <w:t xml:space="preserve"> with food</w:t>
            </w:r>
          </w:p>
        </w:tc>
      </w:tr>
      <w:tr w:rsidR="00EF4F71" w:rsidRPr="00031F67" w:rsidTr="006F1E56">
        <w:trPr>
          <w:tblHeader/>
        </w:trPr>
        <w:tc>
          <w:tcPr>
            <w:tcW w:w="1276" w:type="pct"/>
            <w:shd w:val="clear" w:color="auto" w:fill="auto"/>
            <w:vAlign w:val="center"/>
          </w:tcPr>
          <w:p w:rsidR="00EF4F71" w:rsidRPr="00BB03CF" w:rsidRDefault="00EF4F71" w:rsidP="00C56A50">
            <w:pPr>
              <w:rPr>
                <w:rFonts w:ascii="Calibri" w:hAnsi="Calibri" w:cs="Calibri"/>
                <w:color w:val="000000"/>
                <w:sz w:val="22"/>
                <w:szCs w:val="22"/>
              </w:rPr>
            </w:pPr>
            <w:r>
              <w:rPr>
                <w:rFonts w:ascii="Calibri" w:hAnsi="Calibri" w:cs="Calibri"/>
                <w:color w:val="000000"/>
                <w:sz w:val="22"/>
                <w:szCs w:val="22"/>
              </w:rPr>
              <w:t xml:space="preserve">alfuzosin (Uroxatral®) </w:t>
            </w:r>
          </w:p>
        </w:tc>
        <w:tc>
          <w:tcPr>
            <w:tcW w:w="1808" w:type="pct"/>
            <w:shd w:val="clear" w:color="auto" w:fill="auto"/>
          </w:tcPr>
          <w:p w:rsidR="00EF4F71" w:rsidRPr="00B569FA" w:rsidRDefault="00EF4F71" w:rsidP="00C56A50">
            <w:pPr>
              <w:rPr>
                <w:rFonts w:asciiTheme="minorHAnsi" w:hAnsiTheme="minorHAnsi" w:cstheme="minorHAnsi"/>
                <w:b/>
                <w:color w:val="FFFFFF" w:themeColor="background1"/>
                <w:sz w:val="22"/>
                <w:szCs w:val="22"/>
              </w:rPr>
            </w:pPr>
            <w:r w:rsidRPr="00606F7B">
              <w:rPr>
                <w:rFonts w:ascii="Calibri" w:hAnsi="Calibri" w:cs="Calibri"/>
                <w:sz w:val="22"/>
                <w:szCs w:val="22"/>
              </w:rPr>
              <w:t xml:space="preserve">Treatment of the signs and symptoms of </w:t>
            </w:r>
            <w:r>
              <w:rPr>
                <w:rFonts w:ascii="Calibri" w:hAnsi="Calibri" w:cs="Calibri"/>
                <w:sz w:val="22"/>
                <w:szCs w:val="22"/>
              </w:rPr>
              <w:t>BPH</w:t>
            </w:r>
          </w:p>
        </w:tc>
        <w:tc>
          <w:tcPr>
            <w:tcW w:w="1916" w:type="pct"/>
            <w:shd w:val="clear" w:color="auto" w:fill="auto"/>
          </w:tcPr>
          <w:p w:rsidR="00EF4F71" w:rsidRPr="006F1E56" w:rsidRDefault="00EF4F71" w:rsidP="00C56A50">
            <w:pPr>
              <w:rPr>
                <w:rFonts w:ascii="Calibri" w:hAnsi="Calibri" w:cs="Calibri"/>
                <w:sz w:val="22"/>
                <w:szCs w:val="22"/>
              </w:rPr>
            </w:pPr>
            <w:r w:rsidRPr="00606F7B">
              <w:rPr>
                <w:rFonts w:ascii="Calibri" w:hAnsi="Calibri" w:cs="Calibri"/>
                <w:sz w:val="22"/>
                <w:szCs w:val="22"/>
              </w:rPr>
              <w:t xml:space="preserve">10 mg </w:t>
            </w:r>
            <w:r>
              <w:rPr>
                <w:rFonts w:ascii="Calibri" w:hAnsi="Calibri" w:cs="Calibri"/>
                <w:sz w:val="22"/>
                <w:szCs w:val="22"/>
              </w:rPr>
              <w:t xml:space="preserve">orally </w:t>
            </w:r>
            <w:r w:rsidRPr="00606F7B">
              <w:rPr>
                <w:rFonts w:ascii="Calibri" w:hAnsi="Calibri" w:cs="Calibri"/>
                <w:sz w:val="22"/>
                <w:szCs w:val="22"/>
              </w:rPr>
              <w:t>once daily</w:t>
            </w:r>
            <w:r>
              <w:rPr>
                <w:rFonts w:ascii="Calibri" w:hAnsi="Calibri" w:cs="Calibri"/>
                <w:sz w:val="22"/>
                <w:szCs w:val="22"/>
              </w:rPr>
              <w:t xml:space="preserve"> with food</w:t>
            </w:r>
          </w:p>
        </w:tc>
      </w:tr>
      <w:tr w:rsidR="00EF4F71" w:rsidRPr="00031F67" w:rsidTr="006F1E56">
        <w:trPr>
          <w:tblHeader/>
        </w:trPr>
        <w:tc>
          <w:tcPr>
            <w:tcW w:w="1276" w:type="pct"/>
            <w:shd w:val="clear" w:color="auto" w:fill="auto"/>
            <w:vAlign w:val="center"/>
          </w:tcPr>
          <w:p w:rsidR="00EF4F71" w:rsidRDefault="00EF4F71" w:rsidP="00C56A50">
            <w:pPr>
              <w:rPr>
                <w:rFonts w:ascii="Calibri" w:hAnsi="Calibri" w:cs="Calibri"/>
                <w:color w:val="000000"/>
                <w:sz w:val="22"/>
                <w:szCs w:val="22"/>
              </w:rPr>
            </w:pPr>
            <w:r>
              <w:rPr>
                <w:rFonts w:ascii="Calibri" w:hAnsi="Calibri" w:cs="Calibri"/>
                <w:color w:val="000000"/>
                <w:sz w:val="22"/>
                <w:szCs w:val="22"/>
              </w:rPr>
              <w:t xml:space="preserve">Rapaflo® (sildosin) </w:t>
            </w:r>
          </w:p>
        </w:tc>
        <w:tc>
          <w:tcPr>
            <w:tcW w:w="1808" w:type="pct"/>
            <w:shd w:val="clear" w:color="auto" w:fill="auto"/>
          </w:tcPr>
          <w:p w:rsidR="00EF4F71" w:rsidRPr="00B569FA" w:rsidRDefault="00EF4F71" w:rsidP="00C56A50">
            <w:pPr>
              <w:rPr>
                <w:rFonts w:asciiTheme="minorHAnsi" w:hAnsiTheme="minorHAnsi" w:cstheme="minorHAnsi"/>
                <w:b/>
                <w:color w:val="FFFFFF" w:themeColor="background1"/>
                <w:sz w:val="22"/>
                <w:szCs w:val="22"/>
              </w:rPr>
            </w:pPr>
            <w:r w:rsidRPr="00606F7B">
              <w:rPr>
                <w:rFonts w:ascii="Calibri" w:hAnsi="Calibri" w:cs="Calibri"/>
                <w:sz w:val="22"/>
                <w:szCs w:val="22"/>
              </w:rPr>
              <w:t xml:space="preserve">Treatment of the signs and symptoms of </w:t>
            </w:r>
            <w:r>
              <w:rPr>
                <w:rFonts w:ascii="Calibri" w:hAnsi="Calibri" w:cs="Calibri"/>
                <w:sz w:val="22"/>
                <w:szCs w:val="22"/>
              </w:rPr>
              <w:t>BPH</w:t>
            </w:r>
          </w:p>
        </w:tc>
        <w:tc>
          <w:tcPr>
            <w:tcW w:w="1916" w:type="pct"/>
            <w:shd w:val="clear" w:color="auto" w:fill="auto"/>
          </w:tcPr>
          <w:p w:rsidR="00EF4F71" w:rsidRDefault="00EF4F71" w:rsidP="00C56A50">
            <w:pPr>
              <w:rPr>
                <w:rFonts w:ascii="Calibri" w:hAnsi="Calibri" w:cs="Calibri"/>
                <w:sz w:val="22"/>
                <w:szCs w:val="22"/>
              </w:rPr>
            </w:pPr>
            <w:r w:rsidRPr="00B0192C">
              <w:rPr>
                <w:rFonts w:ascii="Calibri" w:hAnsi="Calibri" w:cs="Calibri"/>
                <w:sz w:val="22"/>
                <w:szCs w:val="22"/>
              </w:rPr>
              <w:t xml:space="preserve">8 mg </w:t>
            </w:r>
            <w:r>
              <w:rPr>
                <w:rFonts w:ascii="Calibri" w:hAnsi="Calibri" w:cs="Calibri"/>
                <w:sz w:val="22"/>
                <w:szCs w:val="22"/>
              </w:rPr>
              <w:t xml:space="preserve">orally </w:t>
            </w:r>
            <w:r w:rsidRPr="00B0192C">
              <w:rPr>
                <w:rFonts w:ascii="Calibri" w:hAnsi="Calibri" w:cs="Calibri"/>
                <w:sz w:val="22"/>
                <w:szCs w:val="22"/>
              </w:rPr>
              <w:t>once daily</w:t>
            </w:r>
            <w:r>
              <w:rPr>
                <w:rFonts w:ascii="Calibri" w:hAnsi="Calibri" w:cs="Calibri"/>
                <w:sz w:val="22"/>
                <w:szCs w:val="22"/>
              </w:rPr>
              <w:t xml:space="preserve"> with a meal, dose reduction to </w:t>
            </w:r>
            <w:r w:rsidRPr="00B0192C">
              <w:rPr>
                <w:rFonts w:ascii="Calibri" w:hAnsi="Calibri" w:cs="Calibri"/>
                <w:sz w:val="22"/>
                <w:szCs w:val="22"/>
              </w:rPr>
              <w:t>4 mg once daily</w:t>
            </w:r>
            <w:r>
              <w:rPr>
                <w:rFonts w:ascii="Calibri" w:hAnsi="Calibri" w:cs="Calibri"/>
                <w:sz w:val="22"/>
                <w:szCs w:val="22"/>
              </w:rPr>
              <w:t xml:space="preserve"> if CrCl 30-50 mL/min</w:t>
            </w:r>
          </w:p>
          <w:p w:rsidR="00EF4F71" w:rsidRPr="00EF4F71" w:rsidRDefault="00EF4F71" w:rsidP="00C56A50">
            <w:pPr>
              <w:rPr>
                <w:rFonts w:ascii="Calibri" w:hAnsi="Calibri" w:cs="Calibri"/>
                <w:sz w:val="22"/>
                <w:szCs w:val="22"/>
              </w:rPr>
            </w:pPr>
            <w:r w:rsidRPr="00EF4F71">
              <w:rPr>
                <w:rFonts w:ascii="Calibri" w:hAnsi="Calibri" w:cs="Calibri"/>
                <w:sz w:val="22"/>
                <w:szCs w:val="22"/>
              </w:rPr>
              <w:t xml:space="preserve">Patients with difficulty swallowing may open the capsule and sprinkle the powder on a tablespoon of applesauce followed by an 8 </w:t>
            </w:r>
            <w:r w:rsidR="0077735B" w:rsidRPr="00EF4F71">
              <w:rPr>
                <w:rFonts w:ascii="Calibri" w:hAnsi="Calibri" w:cs="Calibri"/>
                <w:sz w:val="22"/>
                <w:szCs w:val="22"/>
              </w:rPr>
              <w:t>oz.</w:t>
            </w:r>
            <w:r w:rsidRPr="00EF4F71">
              <w:rPr>
                <w:rFonts w:ascii="Calibri" w:hAnsi="Calibri" w:cs="Calibri"/>
                <w:sz w:val="22"/>
                <w:szCs w:val="22"/>
              </w:rPr>
              <w:t xml:space="preserve"> glass of cool water.</w:t>
            </w:r>
          </w:p>
        </w:tc>
      </w:tr>
      <w:tr w:rsidR="00EF4F71" w:rsidRPr="00031F67" w:rsidTr="006F1E56">
        <w:trPr>
          <w:tblHeader/>
        </w:trPr>
        <w:tc>
          <w:tcPr>
            <w:tcW w:w="1276" w:type="pct"/>
            <w:shd w:val="clear" w:color="auto" w:fill="auto"/>
            <w:vAlign w:val="center"/>
          </w:tcPr>
          <w:p w:rsidR="00EF4F71" w:rsidRPr="00414DD6" w:rsidRDefault="00EF4F71" w:rsidP="00C56A50">
            <w:pPr>
              <w:rPr>
                <w:rFonts w:ascii="Calibri" w:hAnsi="Calibri" w:cs="Calibri"/>
                <w:color w:val="000000"/>
                <w:sz w:val="22"/>
                <w:szCs w:val="22"/>
              </w:rPr>
            </w:pPr>
            <w:r>
              <w:rPr>
                <w:rFonts w:ascii="Calibri" w:hAnsi="Calibri" w:cs="Calibri"/>
                <w:color w:val="000000"/>
                <w:sz w:val="22"/>
                <w:szCs w:val="22"/>
              </w:rPr>
              <w:t xml:space="preserve">Cardura XL® (doxazosin mesylate) </w:t>
            </w:r>
          </w:p>
        </w:tc>
        <w:tc>
          <w:tcPr>
            <w:tcW w:w="1808" w:type="pct"/>
            <w:shd w:val="clear" w:color="auto" w:fill="auto"/>
          </w:tcPr>
          <w:p w:rsidR="00EF4F71" w:rsidRPr="00B569FA" w:rsidRDefault="00EF4F71" w:rsidP="00C56A50">
            <w:pPr>
              <w:rPr>
                <w:rFonts w:asciiTheme="minorHAnsi" w:hAnsiTheme="minorHAnsi" w:cstheme="minorHAnsi"/>
                <w:b/>
                <w:color w:val="FFFFFF" w:themeColor="background1"/>
                <w:sz w:val="22"/>
                <w:szCs w:val="22"/>
              </w:rPr>
            </w:pPr>
            <w:r w:rsidRPr="00606F7B">
              <w:rPr>
                <w:rFonts w:ascii="Calibri" w:hAnsi="Calibri" w:cs="Calibri"/>
                <w:sz w:val="22"/>
                <w:szCs w:val="22"/>
              </w:rPr>
              <w:t xml:space="preserve">Treatment of the signs and symptoms of </w:t>
            </w:r>
            <w:r>
              <w:rPr>
                <w:rFonts w:ascii="Calibri" w:hAnsi="Calibri" w:cs="Calibri"/>
                <w:sz w:val="22"/>
                <w:szCs w:val="22"/>
              </w:rPr>
              <w:t>BPH</w:t>
            </w:r>
          </w:p>
        </w:tc>
        <w:tc>
          <w:tcPr>
            <w:tcW w:w="1916" w:type="pct"/>
            <w:shd w:val="clear" w:color="auto" w:fill="auto"/>
          </w:tcPr>
          <w:p w:rsidR="00EF4F71" w:rsidRPr="00EF4F71" w:rsidRDefault="00EF4F71" w:rsidP="00C56A50">
            <w:pPr>
              <w:rPr>
                <w:rFonts w:asciiTheme="minorHAnsi" w:hAnsiTheme="minorHAnsi" w:cstheme="minorHAnsi"/>
                <w:b/>
                <w:color w:val="FFFFFF" w:themeColor="background1"/>
                <w:sz w:val="22"/>
                <w:szCs w:val="22"/>
              </w:rPr>
            </w:pPr>
            <w:r>
              <w:rPr>
                <w:rFonts w:ascii="Calibri" w:hAnsi="Calibri" w:cs="Calibri"/>
                <w:sz w:val="22"/>
                <w:szCs w:val="22"/>
              </w:rPr>
              <w:t>4 mg orally once daily or up to</w:t>
            </w:r>
            <w:r w:rsidRPr="0084652A">
              <w:rPr>
                <w:rFonts w:ascii="Calibri" w:hAnsi="Calibri" w:cs="Calibri"/>
                <w:sz w:val="22"/>
                <w:szCs w:val="22"/>
              </w:rPr>
              <w:t xml:space="preserve"> 8 mg once daily at 3- to 4-week intervals based on response and tolerability</w:t>
            </w:r>
            <w:r>
              <w:rPr>
                <w:rFonts w:ascii="Calibri" w:hAnsi="Calibri" w:cs="Calibri"/>
                <w:sz w:val="22"/>
                <w:szCs w:val="22"/>
              </w:rPr>
              <w:t xml:space="preserve"> </w:t>
            </w:r>
          </w:p>
        </w:tc>
      </w:tr>
      <w:tr w:rsidR="00EF4F71" w:rsidRPr="00031F67" w:rsidTr="006F1E56">
        <w:trPr>
          <w:tblHeader/>
        </w:trPr>
        <w:tc>
          <w:tcPr>
            <w:tcW w:w="1276" w:type="pct"/>
            <w:shd w:val="clear" w:color="auto" w:fill="auto"/>
            <w:vAlign w:val="center"/>
          </w:tcPr>
          <w:p w:rsidR="00EF4F71" w:rsidRPr="00382D45" w:rsidRDefault="00EF4F71" w:rsidP="00C56A50">
            <w:pPr>
              <w:rPr>
                <w:rFonts w:ascii="Calibri" w:hAnsi="Calibri" w:cs="Calibri"/>
                <w:color w:val="000000"/>
                <w:sz w:val="22"/>
                <w:szCs w:val="22"/>
              </w:rPr>
            </w:pPr>
            <w:r>
              <w:rPr>
                <w:rFonts w:ascii="Calibri" w:hAnsi="Calibri" w:cs="Calibri"/>
                <w:color w:val="000000"/>
                <w:sz w:val="22"/>
                <w:szCs w:val="22"/>
              </w:rPr>
              <w:t>doxazosin mesylate (Cardura®)</w:t>
            </w:r>
          </w:p>
        </w:tc>
        <w:tc>
          <w:tcPr>
            <w:tcW w:w="1808" w:type="pct"/>
            <w:shd w:val="clear" w:color="auto" w:fill="auto"/>
          </w:tcPr>
          <w:p w:rsidR="00EF4F71" w:rsidRPr="00B569FA" w:rsidRDefault="00EF4F71" w:rsidP="00C56A50">
            <w:pPr>
              <w:rPr>
                <w:rFonts w:asciiTheme="minorHAnsi" w:hAnsiTheme="minorHAnsi" w:cstheme="minorHAnsi"/>
                <w:b/>
                <w:color w:val="FFFFFF" w:themeColor="background1"/>
                <w:sz w:val="22"/>
                <w:szCs w:val="22"/>
              </w:rPr>
            </w:pPr>
            <w:r w:rsidRPr="00606F7B">
              <w:rPr>
                <w:rFonts w:ascii="Calibri" w:hAnsi="Calibri" w:cs="Calibri"/>
                <w:sz w:val="22"/>
                <w:szCs w:val="22"/>
              </w:rPr>
              <w:t xml:space="preserve">Treatment of the signs and symptoms of </w:t>
            </w:r>
            <w:r>
              <w:rPr>
                <w:rFonts w:ascii="Calibri" w:hAnsi="Calibri" w:cs="Calibri"/>
                <w:sz w:val="22"/>
                <w:szCs w:val="22"/>
              </w:rPr>
              <w:t>BPH</w:t>
            </w:r>
          </w:p>
        </w:tc>
        <w:tc>
          <w:tcPr>
            <w:tcW w:w="1916" w:type="pct"/>
            <w:shd w:val="clear" w:color="auto" w:fill="auto"/>
          </w:tcPr>
          <w:p w:rsidR="00EF4F71" w:rsidRPr="00B569FA" w:rsidRDefault="00EF4F71" w:rsidP="00C56A50">
            <w:pPr>
              <w:rPr>
                <w:rFonts w:asciiTheme="minorHAnsi" w:hAnsiTheme="minorHAnsi" w:cstheme="minorHAnsi"/>
                <w:b/>
                <w:color w:val="FFFFFF" w:themeColor="background1"/>
                <w:sz w:val="22"/>
                <w:szCs w:val="22"/>
              </w:rPr>
            </w:pPr>
            <w:r>
              <w:rPr>
                <w:rFonts w:ascii="Calibri" w:hAnsi="Calibri" w:cs="Calibri"/>
                <w:sz w:val="22"/>
                <w:szCs w:val="22"/>
              </w:rPr>
              <w:t>1 mg orally once daily in the morning or evening and  may titrate at 1 to 2 week intervals to 2 mg, and thereafter to 4 mg and 8 mg once daily</w:t>
            </w:r>
          </w:p>
        </w:tc>
      </w:tr>
      <w:tr w:rsidR="00EF4F71" w:rsidRPr="00031F67" w:rsidTr="006F1E56">
        <w:trPr>
          <w:tblHeader/>
        </w:trPr>
        <w:tc>
          <w:tcPr>
            <w:tcW w:w="1276" w:type="pct"/>
            <w:shd w:val="clear" w:color="auto" w:fill="auto"/>
            <w:vAlign w:val="center"/>
          </w:tcPr>
          <w:p w:rsidR="00EF4F71" w:rsidRPr="00567B9D" w:rsidRDefault="00EF4F71" w:rsidP="00C56A50">
            <w:pPr>
              <w:rPr>
                <w:rFonts w:ascii="Calibri" w:hAnsi="Calibri" w:cs="Calibri"/>
                <w:color w:val="000000"/>
                <w:sz w:val="22"/>
                <w:szCs w:val="22"/>
              </w:rPr>
            </w:pPr>
            <w:r>
              <w:rPr>
                <w:rFonts w:ascii="Calibri" w:hAnsi="Calibri" w:cs="Calibri"/>
                <w:color w:val="000000"/>
                <w:sz w:val="22"/>
                <w:szCs w:val="22"/>
              </w:rPr>
              <w:t>terazosin</w:t>
            </w:r>
          </w:p>
        </w:tc>
        <w:tc>
          <w:tcPr>
            <w:tcW w:w="1808" w:type="pct"/>
            <w:shd w:val="clear" w:color="auto" w:fill="auto"/>
          </w:tcPr>
          <w:p w:rsidR="00EF4F71" w:rsidRPr="00B569FA" w:rsidRDefault="00EF4F71" w:rsidP="00C56A50">
            <w:pPr>
              <w:rPr>
                <w:rFonts w:asciiTheme="minorHAnsi" w:hAnsiTheme="minorHAnsi" w:cstheme="minorHAnsi"/>
                <w:b/>
                <w:color w:val="FFFFFF" w:themeColor="background1"/>
                <w:sz w:val="22"/>
                <w:szCs w:val="22"/>
              </w:rPr>
            </w:pPr>
            <w:r w:rsidRPr="00606F7B">
              <w:rPr>
                <w:rFonts w:ascii="Calibri" w:hAnsi="Calibri" w:cs="Calibri"/>
                <w:sz w:val="22"/>
                <w:szCs w:val="22"/>
              </w:rPr>
              <w:t xml:space="preserve">Treatment of the signs and symptoms of </w:t>
            </w:r>
            <w:r>
              <w:rPr>
                <w:rFonts w:ascii="Calibri" w:hAnsi="Calibri" w:cs="Calibri"/>
                <w:sz w:val="22"/>
                <w:szCs w:val="22"/>
              </w:rPr>
              <w:t>BPH</w:t>
            </w:r>
          </w:p>
        </w:tc>
        <w:tc>
          <w:tcPr>
            <w:tcW w:w="1916" w:type="pct"/>
            <w:shd w:val="clear" w:color="auto" w:fill="auto"/>
          </w:tcPr>
          <w:p w:rsidR="00EF4F71" w:rsidRPr="00EF4F71" w:rsidRDefault="00EF4F71" w:rsidP="00C56A50">
            <w:pPr>
              <w:rPr>
                <w:rFonts w:ascii="Calibri" w:hAnsi="Calibri" w:cs="Calibri"/>
                <w:sz w:val="22"/>
              </w:rPr>
            </w:pPr>
            <w:r w:rsidRPr="00EF4F71">
              <w:rPr>
                <w:rFonts w:ascii="Calibri" w:hAnsi="Calibri" w:cs="Calibri"/>
                <w:sz w:val="22"/>
              </w:rPr>
              <w:t>1mg orally once daily at bedtime; may titrate upwards in a stepwise fashion to 2 mg, 5 mg, or 10 mg once daily until improvement of symptoms (max. 20 mg/day)</w:t>
            </w:r>
          </w:p>
        </w:tc>
      </w:tr>
      <w:tr w:rsidR="00EF4F71" w:rsidRPr="00031F67" w:rsidTr="006F1E56">
        <w:trPr>
          <w:tblHeader/>
        </w:trPr>
        <w:tc>
          <w:tcPr>
            <w:tcW w:w="1276" w:type="pct"/>
            <w:shd w:val="clear" w:color="auto" w:fill="auto"/>
            <w:vAlign w:val="center"/>
          </w:tcPr>
          <w:p w:rsidR="00EF4F71" w:rsidRPr="00212290" w:rsidRDefault="00EF4F71" w:rsidP="006F1E56">
            <w:pPr>
              <w:rPr>
                <w:rFonts w:ascii="Calibri" w:hAnsi="Calibri" w:cs="Calibri"/>
                <w:color w:val="000000"/>
                <w:sz w:val="22"/>
                <w:szCs w:val="22"/>
              </w:rPr>
            </w:pPr>
            <w:r>
              <w:rPr>
                <w:rFonts w:ascii="Calibri" w:hAnsi="Calibri" w:cs="Calibri"/>
                <w:color w:val="000000"/>
                <w:sz w:val="22"/>
                <w:szCs w:val="22"/>
              </w:rPr>
              <w:t xml:space="preserve">tamsulosin (Flomax®) </w:t>
            </w:r>
          </w:p>
        </w:tc>
        <w:tc>
          <w:tcPr>
            <w:tcW w:w="1808" w:type="pct"/>
            <w:shd w:val="clear" w:color="auto" w:fill="auto"/>
          </w:tcPr>
          <w:p w:rsidR="00EF4F71" w:rsidRPr="00B569FA" w:rsidRDefault="00EF4F71" w:rsidP="00C56A50">
            <w:pPr>
              <w:rPr>
                <w:rFonts w:asciiTheme="minorHAnsi" w:hAnsiTheme="minorHAnsi" w:cstheme="minorHAnsi"/>
                <w:b/>
                <w:color w:val="FFFFFF" w:themeColor="background1"/>
                <w:sz w:val="22"/>
                <w:szCs w:val="22"/>
              </w:rPr>
            </w:pPr>
            <w:r w:rsidRPr="00606F7B">
              <w:rPr>
                <w:rFonts w:ascii="Calibri" w:hAnsi="Calibri" w:cs="Calibri"/>
                <w:sz w:val="22"/>
                <w:szCs w:val="22"/>
              </w:rPr>
              <w:t xml:space="preserve">Treatment of the signs and symptoms of </w:t>
            </w:r>
            <w:r>
              <w:rPr>
                <w:rFonts w:ascii="Calibri" w:hAnsi="Calibri" w:cs="Calibri"/>
                <w:sz w:val="22"/>
                <w:szCs w:val="22"/>
              </w:rPr>
              <w:t>BPH</w:t>
            </w:r>
          </w:p>
        </w:tc>
        <w:tc>
          <w:tcPr>
            <w:tcW w:w="1916" w:type="pct"/>
            <w:shd w:val="clear" w:color="auto" w:fill="auto"/>
          </w:tcPr>
          <w:p w:rsidR="00EF4F71" w:rsidRPr="00EF4F71" w:rsidRDefault="00EF4F71" w:rsidP="00EF4F71">
            <w:pPr>
              <w:rPr>
                <w:rFonts w:asciiTheme="minorHAnsi" w:hAnsiTheme="minorHAnsi" w:cstheme="minorHAnsi"/>
                <w:sz w:val="22"/>
                <w:szCs w:val="22"/>
              </w:rPr>
            </w:pPr>
            <w:r w:rsidRPr="00EF4F71">
              <w:rPr>
                <w:rFonts w:asciiTheme="minorHAnsi" w:hAnsiTheme="minorHAnsi" w:cstheme="minorHAnsi"/>
                <w:sz w:val="22"/>
                <w:szCs w:val="22"/>
              </w:rPr>
              <w:t>0.4 mg o</w:t>
            </w:r>
            <w:r>
              <w:rPr>
                <w:rFonts w:asciiTheme="minorHAnsi" w:hAnsiTheme="minorHAnsi" w:cstheme="minorHAnsi"/>
                <w:sz w:val="22"/>
                <w:szCs w:val="22"/>
              </w:rPr>
              <w:t>rally o</w:t>
            </w:r>
            <w:r w:rsidRPr="00EF4F71">
              <w:rPr>
                <w:rFonts w:asciiTheme="minorHAnsi" w:hAnsiTheme="minorHAnsi" w:cstheme="minorHAnsi"/>
                <w:sz w:val="22"/>
                <w:szCs w:val="22"/>
              </w:rPr>
              <w:t>nce daily 30 minutes following the same meal each day</w:t>
            </w:r>
            <w:r>
              <w:rPr>
                <w:rFonts w:asciiTheme="minorHAnsi" w:hAnsiTheme="minorHAnsi" w:cstheme="minorHAnsi"/>
                <w:sz w:val="22"/>
                <w:szCs w:val="22"/>
              </w:rPr>
              <w:t>; m</w:t>
            </w:r>
            <w:r w:rsidRPr="00EF4F71">
              <w:rPr>
                <w:rFonts w:asciiTheme="minorHAnsi" w:hAnsiTheme="minorHAnsi" w:cstheme="minorHAnsi"/>
                <w:sz w:val="22"/>
                <w:szCs w:val="22"/>
              </w:rPr>
              <w:t>ay increase to 0.8 mg once daily after 2 to 4 weeks in patients who do not respond to the 0.4 mg dose</w:t>
            </w:r>
          </w:p>
        </w:tc>
      </w:tr>
      <w:tr w:rsidR="00EF4F71" w:rsidRPr="00031F67" w:rsidTr="006F1E56">
        <w:trPr>
          <w:tblHeader/>
        </w:trPr>
        <w:tc>
          <w:tcPr>
            <w:tcW w:w="1276" w:type="pct"/>
            <w:shd w:val="clear" w:color="auto" w:fill="auto"/>
            <w:vAlign w:val="center"/>
          </w:tcPr>
          <w:p w:rsidR="00EF4F71" w:rsidRDefault="00EF4F71" w:rsidP="006F1E56">
            <w:pPr>
              <w:rPr>
                <w:rFonts w:ascii="Calibri" w:hAnsi="Calibri" w:cs="Calibri"/>
                <w:color w:val="000000"/>
                <w:sz w:val="22"/>
                <w:szCs w:val="22"/>
              </w:rPr>
            </w:pPr>
            <w:r>
              <w:rPr>
                <w:rFonts w:ascii="Calibri" w:hAnsi="Calibri" w:cs="Calibri"/>
                <w:color w:val="000000"/>
                <w:sz w:val="22"/>
                <w:szCs w:val="22"/>
              </w:rPr>
              <w:lastRenderedPageBreak/>
              <w:t>dutasteride/tamsulosin (Jalyn®)</w:t>
            </w:r>
          </w:p>
        </w:tc>
        <w:tc>
          <w:tcPr>
            <w:tcW w:w="1808" w:type="pct"/>
            <w:shd w:val="clear" w:color="auto" w:fill="auto"/>
          </w:tcPr>
          <w:p w:rsidR="00EF4F71" w:rsidRPr="00B569FA" w:rsidRDefault="006848BC" w:rsidP="00C56A50">
            <w:pPr>
              <w:rPr>
                <w:rFonts w:asciiTheme="minorHAnsi" w:hAnsiTheme="minorHAnsi" w:cstheme="minorHAnsi"/>
                <w:b/>
                <w:color w:val="FFFFFF" w:themeColor="background1"/>
                <w:sz w:val="22"/>
                <w:szCs w:val="22"/>
              </w:rPr>
            </w:pPr>
            <w:r w:rsidRPr="005651BE">
              <w:rPr>
                <w:rFonts w:ascii="Calibri" w:hAnsi="Calibri" w:cs="Calibri"/>
                <w:sz w:val="22"/>
                <w:szCs w:val="22"/>
              </w:rPr>
              <w:t xml:space="preserve">For the treatment of symptomatic </w:t>
            </w:r>
            <w:r>
              <w:rPr>
                <w:rFonts w:ascii="Calibri" w:hAnsi="Calibri" w:cs="Calibri"/>
                <w:sz w:val="22"/>
                <w:szCs w:val="22"/>
              </w:rPr>
              <w:t xml:space="preserve">BPH </w:t>
            </w:r>
            <w:r w:rsidRPr="005651BE">
              <w:rPr>
                <w:rFonts w:ascii="Calibri" w:hAnsi="Calibri" w:cs="Calibri"/>
                <w:sz w:val="22"/>
                <w:szCs w:val="22"/>
              </w:rPr>
              <w:t>in men with an enlarged prostate</w:t>
            </w:r>
          </w:p>
        </w:tc>
        <w:tc>
          <w:tcPr>
            <w:tcW w:w="1916" w:type="pct"/>
            <w:shd w:val="clear" w:color="auto" w:fill="auto"/>
          </w:tcPr>
          <w:p w:rsidR="00EF4F71" w:rsidRPr="006848BC" w:rsidRDefault="006848BC" w:rsidP="00C95E8D">
            <w:pPr>
              <w:rPr>
                <w:rFonts w:asciiTheme="minorHAnsi" w:hAnsiTheme="minorHAnsi" w:cstheme="minorHAnsi"/>
                <w:sz w:val="22"/>
                <w:szCs w:val="22"/>
              </w:rPr>
            </w:pPr>
            <w:r w:rsidRPr="006848BC">
              <w:rPr>
                <w:rFonts w:asciiTheme="minorHAnsi" w:hAnsiTheme="minorHAnsi" w:cstheme="minorHAnsi"/>
                <w:sz w:val="22"/>
                <w:szCs w:val="22"/>
              </w:rPr>
              <w:t xml:space="preserve">1 capsule (0.5 mg dutasteride /0.4 mg tamsulosin) </w:t>
            </w:r>
            <w:r>
              <w:rPr>
                <w:rFonts w:asciiTheme="minorHAnsi" w:hAnsiTheme="minorHAnsi" w:cstheme="minorHAnsi"/>
                <w:sz w:val="22"/>
                <w:szCs w:val="22"/>
              </w:rPr>
              <w:t xml:space="preserve">orally </w:t>
            </w:r>
            <w:r w:rsidRPr="006848BC">
              <w:rPr>
                <w:rFonts w:asciiTheme="minorHAnsi" w:hAnsiTheme="minorHAnsi" w:cstheme="minorHAnsi"/>
                <w:sz w:val="22"/>
                <w:szCs w:val="22"/>
              </w:rPr>
              <w:t>once daily 30 minutes after the same meal each day</w:t>
            </w:r>
          </w:p>
        </w:tc>
      </w:tr>
      <w:tr w:rsidR="00EF4F71" w:rsidRPr="00031F67" w:rsidTr="00EF715A">
        <w:trPr>
          <w:tblHeader/>
        </w:trPr>
        <w:tc>
          <w:tcPr>
            <w:tcW w:w="5000" w:type="pct"/>
            <w:gridSpan w:val="3"/>
            <w:shd w:val="clear" w:color="auto" w:fill="EEECE1" w:themeFill="background2"/>
          </w:tcPr>
          <w:p w:rsidR="00EF4F71" w:rsidRPr="00B569FA" w:rsidRDefault="00EF4F71" w:rsidP="00EF4F71">
            <w:pPr>
              <w:jc w:val="center"/>
              <w:rPr>
                <w:rFonts w:asciiTheme="minorHAnsi" w:hAnsiTheme="minorHAnsi" w:cstheme="minorHAnsi"/>
                <w:b/>
                <w:color w:val="FFFFFF" w:themeColor="background1"/>
                <w:sz w:val="22"/>
                <w:szCs w:val="22"/>
              </w:rPr>
            </w:pPr>
            <w:r w:rsidRPr="00C67AA9">
              <w:rPr>
                <w:rFonts w:asciiTheme="minorHAnsi" w:hAnsiTheme="minorHAnsi" w:cstheme="minorHAnsi"/>
                <w:b/>
                <w:sz w:val="22"/>
                <w:szCs w:val="22"/>
              </w:rPr>
              <w:t>5-Alpha Reductase Inhibitors</w:t>
            </w:r>
          </w:p>
        </w:tc>
      </w:tr>
      <w:tr w:rsidR="006848BC" w:rsidRPr="00031F67" w:rsidTr="006F1E56">
        <w:trPr>
          <w:tblHeader/>
        </w:trPr>
        <w:tc>
          <w:tcPr>
            <w:tcW w:w="1276" w:type="pct"/>
            <w:shd w:val="clear" w:color="auto" w:fill="auto"/>
            <w:vAlign w:val="center"/>
          </w:tcPr>
          <w:p w:rsidR="006848BC" w:rsidRPr="00567B9D" w:rsidRDefault="006848BC" w:rsidP="006F1E56">
            <w:pPr>
              <w:rPr>
                <w:rFonts w:ascii="Calibri" w:hAnsi="Calibri" w:cs="Calibri"/>
                <w:color w:val="000000"/>
                <w:sz w:val="22"/>
                <w:szCs w:val="22"/>
              </w:rPr>
            </w:pPr>
            <w:r>
              <w:rPr>
                <w:rFonts w:ascii="Calibri" w:hAnsi="Calibri" w:cs="Calibri"/>
                <w:color w:val="000000"/>
                <w:sz w:val="22"/>
                <w:szCs w:val="22"/>
              </w:rPr>
              <w:t xml:space="preserve">finasteride (Proscar®) </w:t>
            </w:r>
          </w:p>
        </w:tc>
        <w:tc>
          <w:tcPr>
            <w:tcW w:w="1808" w:type="pct"/>
            <w:vMerge w:val="restart"/>
            <w:shd w:val="clear" w:color="auto" w:fill="auto"/>
          </w:tcPr>
          <w:p w:rsidR="006848BC" w:rsidRDefault="006848BC" w:rsidP="006848BC">
            <w:pPr>
              <w:rPr>
                <w:rFonts w:ascii="Calibri" w:hAnsi="Calibri" w:cs="Calibri"/>
                <w:sz w:val="22"/>
                <w:szCs w:val="22"/>
              </w:rPr>
            </w:pPr>
            <w:r>
              <w:rPr>
                <w:rFonts w:ascii="Calibri" w:hAnsi="Calibri" w:cs="Calibri"/>
                <w:sz w:val="22"/>
                <w:szCs w:val="22"/>
              </w:rPr>
              <w:t>Monotherapy: treatment of symptomatic BPH in men with an enlarged prostate to improve symptoms, reduce risk of acute urinary retention, and reduce risk of need of surgery</w:t>
            </w:r>
          </w:p>
          <w:p w:rsidR="006848BC" w:rsidRPr="00B569FA" w:rsidRDefault="006848BC" w:rsidP="006848BC">
            <w:pPr>
              <w:rPr>
                <w:rFonts w:asciiTheme="minorHAnsi" w:hAnsiTheme="minorHAnsi" w:cstheme="minorHAnsi"/>
                <w:b/>
                <w:color w:val="FFFFFF" w:themeColor="background1"/>
                <w:sz w:val="22"/>
                <w:szCs w:val="22"/>
              </w:rPr>
            </w:pPr>
            <w:r>
              <w:rPr>
                <w:rFonts w:ascii="Calibri" w:hAnsi="Calibri" w:cs="Calibri"/>
                <w:sz w:val="22"/>
                <w:szCs w:val="22"/>
              </w:rPr>
              <w:t>Combined with alpha-blocker: reduce risk of symptomatic progression of BPH (</w:t>
            </w:r>
            <w:r w:rsidR="0077735B">
              <w:rPr>
                <w:rFonts w:ascii="Calibri" w:hAnsi="Calibri" w:cs="Calibri"/>
                <w:sz w:val="22"/>
                <w:szCs w:val="22"/>
              </w:rPr>
              <w:t>i.e.</w:t>
            </w:r>
            <w:r>
              <w:rPr>
                <w:rFonts w:ascii="Calibri" w:hAnsi="Calibri" w:cs="Calibri"/>
                <w:sz w:val="22"/>
                <w:szCs w:val="22"/>
              </w:rPr>
              <w:t>, a confirmed ≥4 point increase in AUA symptom score)</w:t>
            </w:r>
          </w:p>
        </w:tc>
        <w:tc>
          <w:tcPr>
            <w:tcW w:w="1916" w:type="pct"/>
            <w:shd w:val="clear" w:color="auto" w:fill="auto"/>
          </w:tcPr>
          <w:p w:rsidR="006848BC" w:rsidRDefault="006848BC" w:rsidP="006848BC">
            <w:pPr>
              <w:rPr>
                <w:rFonts w:ascii="Calibri" w:hAnsi="Calibri" w:cs="Arial"/>
                <w:sz w:val="22"/>
                <w:szCs w:val="22"/>
              </w:rPr>
            </w:pPr>
            <w:r>
              <w:rPr>
                <w:rFonts w:ascii="Calibri" w:hAnsi="Calibri" w:cs="Arial"/>
                <w:sz w:val="22"/>
                <w:szCs w:val="22"/>
              </w:rPr>
              <w:t xml:space="preserve">Monotherapy: </w:t>
            </w:r>
            <w:r w:rsidRPr="00CD4DDF">
              <w:rPr>
                <w:rFonts w:ascii="Calibri" w:hAnsi="Calibri" w:cs="Arial"/>
                <w:sz w:val="22"/>
                <w:szCs w:val="22"/>
              </w:rPr>
              <w:t>5 mg once daily</w:t>
            </w:r>
          </w:p>
          <w:p w:rsidR="006848BC" w:rsidRPr="00B569FA" w:rsidRDefault="006848BC" w:rsidP="006848BC">
            <w:pPr>
              <w:rPr>
                <w:rFonts w:asciiTheme="minorHAnsi" w:hAnsiTheme="minorHAnsi" w:cstheme="minorHAnsi"/>
                <w:b/>
                <w:color w:val="FFFFFF" w:themeColor="background1"/>
                <w:sz w:val="22"/>
                <w:szCs w:val="22"/>
              </w:rPr>
            </w:pPr>
            <w:r>
              <w:rPr>
                <w:rFonts w:ascii="Calibri" w:hAnsi="Calibri" w:cs="Arial"/>
                <w:sz w:val="22"/>
                <w:szCs w:val="22"/>
              </w:rPr>
              <w:t>Combination with doxasozin: 5 mg once daily</w:t>
            </w:r>
          </w:p>
        </w:tc>
      </w:tr>
      <w:tr w:rsidR="006848BC" w:rsidRPr="00031F67" w:rsidTr="006F1E56">
        <w:trPr>
          <w:tblHeader/>
        </w:trPr>
        <w:tc>
          <w:tcPr>
            <w:tcW w:w="1276" w:type="pct"/>
            <w:shd w:val="clear" w:color="auto" w:fill="auto"/>
            <w:vAlign w:val="center"/>
          </w:tcPr>
          <w:p w:rsidR="006848BC" w:rsidRPr="00297ABB" w:rsidRDefault="006848BC" w:rsidP="006F1E56">
            <w:pPr>
              <w:rPr>
                <w:rFonts w:ascii="Calibri" w:hAnsi="Calibri" w:cs="Calibri"/>
                <w:color w:val="000000"/>
                <w:sz w:val="22"/>
                <w:szCs w:val="22"/>
              </w:rPr>
            </w:pPr>
            <w:r>
              <w:rPr>
                <w:rFonts w:ascii="Calibri" w:hAnsi="Calibri" w:cs="Calibri"/>
                <w:color w:val="000000"/>
                <w:sz w:val="22"/>
                <w:szCs w:val="22"/>
              </w:rPr>
              <w:t xml:space="preserve">dutasteride (Avodart®) </w:t>
            </w:r>
          </w:p>
        </w:tc>
        <w:tc>
          <w:tcPr>
            <w:tcW w:w="1808" w:type="pct"/>
            <w:vMerge/>
            <w:shd w:val="clear" w:color="auto" w:fill="auto"/>
          </w:tcPr>
          <w:p w:rsidR="006848BC" w:rsidRPr="00B569FA" w:rsidRDefault="006848BC" w:rsidP="00C95E8D">
            <w:pPr>
              <w:rPr>
                <w:rFonts w:asciiTheme="minorHAnsi" w:hAnsiTheme="minorHAnsi" w:cstheme="minorHAnsi"/>
                <w:b/>
                <w:color w:val="FFFFFF" w:themeColor="background1"/>
                <w:sz w:val="22"/>
                <w:szCs w:val="22"/>
              </w:rPr>
            </w:pPr>
          </w:p>
        </w:tc>
        <w:tc>
          <w:tcPr>
            <w:tcW w:w="1916" w:type="pct"/>
            <w:shd w:val="clear" w:color="auto" w:fill="auto"/>
          </w:tcPr>
          <w:p w:rsidR="006848BC" w:rsidRDefault="006848BC" w:rsidP="006848BC">
            <w:pPr>
              <w:rPr>
                <w:rFonts w:ascii="Calibri" w:hAnsi="Calibri" w:cs="Calibri"/>
                <w:sz w:val="22"/>
                <w:szCs w:val="22"/>
              </w:rPr>
            </w:pPr>
            <w:r>
              <w:rPr>
                <w:rFonts w:ascii="Calibri" w:hAnsi="Calibri" w:cs="Calibri"/>
                <w:sz w:val="22"/>
                <w:szCs w:val="22"/>
              </w:rPr>
              <w:t xml:space="preserve">Monotherapy: </w:t>
            </w:r>
            <w:r w:rsidRPr="00A15609">
              <w:rPr>
                <w:rFonts w:ascii="Calibri" w:hAnsi="Calibri" w:cs="Calibri"/>
                <w:sz w:val="22"/>
                <w:szCs w:val="22"/>
              </w:rPr>
              <w:t>0.5 mg once daily</w:t>
            </w:r>
          </w:p>
          <w:p w:rsidR="006848BC" w:rsidRPr="004C3D6A" w:rsidRDefault="006848BC" w:rsidP="006848BC">
            <w:pPr>
              <w:rPr>
                <w:rFonts w:asciiTheme="minorHAnsi" w:hAnsiTheme="minorHAnsi" w:cstheme="minorHAnsi"/>
                <w:b/>
                <w:color w:val="FFFFFF" w:themeColor="background1"/>
                <w:sz w:val="22"/>
                <w:szCs w:val="22"/>
              </w:rPr>
            </w:pPr>
            <w:r>
              <w:rPr>
                <w:rFonts w:ascii="Calibri" w:hAnsi="Calibri" w:cs="Calibri"/>
                <w:sz w:val="22"/>
                <w:szCs w:val="22"/>
              </w:rPr>
              <w:t>Combination with tamsulosin: 0.5 mg once daily</w:t>
            </w:r>
          </w:p>
        </w:tc>
      </w:tr>
      <w:tr w:rsidR="00EF4F71" w:rsidRPr="00031F67" w:rsidTr="00EF715A">
        <w:trPr>
          <w:tblHeader/>
        </w:trPr>
        <w:tc>
          <w:tcPr>
            <w:tcW w:w="5000" w:type="pct"/>
            <w:gridSpan w:val="3"/>
            <w:shd w:val="clear" w:color="auto" w:fill="EEECE1" w:themeFill="background2"/>
          </w:tcPr>
          <w:p w:rsidR="00EF4F71" w:rsidRPr="00B569FA" w:rsidRDefault="00EF4F71" w:rsidP="00EF4F71">
            <w:pPr>
              <w:jc w:val="center"/>
              <w:rPr>
                <w:rFonts w:asciiTheme="minorHAnsi" w:hAnsiTheme="minorHAnsi" w:cstheme="minorHAnsi"/>
                <w:b/>
                <w:color w:val="FFFFFF" w:themeColor="background1"/>
                <w:sz w:val="22"/>
                <w:szCs w:val="22"/>
              </w:rPr>
            </w:pPr>
            <w:r w:rsidRPr="00C67AA9">
              <w:rPr>
                <w:rFonts w:ascii="Calibri" w:hAnsi="Calibri" w:cs="Calibri"/>
                <w:b/>
                <w:color w:val="000000"/>
                <w:sz w:val="22"/>
                <w:szCs w:val="22"/>
              </w:rPr>
              <w:t>Phosphodiesterase Type 5 Inhibitors</w:t>
            </w:r>
          </w:p>
        </w:tc>
      </w:tr>
      <w:tr w:rsidR="00EF4F71" w:rsidRPr="00031F67" w:rsidTr="006F1E56">
        <w:trPr>
          <w:tblHeader/>
        </w:trPr>
        <w:tc>
          <w:tcPr>
            <w:tcW w:w="1276" w:type="pct"/>
            <w:shd w:val="clear" w:color="auto" w:fill="auto"/>
            <w:vAlign w:val="center"/>
          </w:tcPr>
          <w:p w:rsidR="00EF4F71" w:rsidRDefault="00EF4F71" w:rsidP="006F1E56">
            <w:pPr>
              <w:rPr>
                <w:rFonts w:ascii="Calibri" w:hAnsi="Calibri" w:cs="Calibri"/>
                <w:color w:val="000000"/>
                <w:sz w:val="22"/>
                <w:szCs w:val="22"/>
              </w:rPr>
            </w:pPr>
            <w:r>
              <w:rPr>
                <w:rFonts w:ascii="Calibri" w:hAnsi="Calibri" w:cs="Calibri"/>
                <w:color w:val="000000"/>
                <w:sz w:val="22"/>
                <w:szCs w:val="22"/>
              </w:rPr>
              <w:t xml:space="preserve">Cialis® (tadalafil) </w:t>
            </w:r>
          </w:p>
        </w:tc>
        <w:tc>
          <w:tcPr>
            <w:tcW w:w="1808" w:type="pct"/>
            <w:shd w:val="clear" w:color="auto" w:fill="auto"/>
          </w:tcPr>
          <w:p w:rsidR="00EF4F71" w:rsidRPr="00B569FA" w:rsidRDefault="006848BC" w:rsidP="00C95E8D">
            <w:pPr>
              <w:rPr>
                <w:rFonts w:asciiTheme="minorHAnsi" w:hAnsiTheme="minorHAnsi" w:cstheme="minorHAnsi"/>
                <w:b/>
                <w:color w:val="FFFFFF" w:themeColor="background1"/>
                <w:sz w:val="22"/>
                <w:szCs w:val="22"/>
              </w:rPr>
            </w:pPr>
            <w:r w:rsidRPr="008B6B9E">
              <w:rPr>
                <w:rFonts w:ascii="Calibri" w:hAnsi="Calibri" w:cs="Calibri"/>
                <w:sz w:val="22"/>
                <w:szCs w:val="22"/>
              </w:rPr>
              <w:t xml:space="preserve">Treatment of the signs and symptoms of </w:t>
            </w:r>
            <w:r>
              <w:rPr>
                <w:rFonts w:ascii="Calibri" w:hAnsi="Calibri" w:cs="Calibri"/>
                <w:sz w:val="22"/>
                <w:szCs w:val="22"/>
              </w:rPr>
              <w:t>BPH and ED/BPH</w:t>
            </w:r>
          </w:p>
        </w:tc>
        <w:tc>
          <w:tcPr>
            <w:tcW w:w="1916" w:type="pct"/>
            <w:shd w:val="clear" w:color="auto" w:fill="auto"/>
          </w:tcPr>
          <w:p w:rsidR="006848BC" w:rsidRDefault="006848BC" w:rsidP="006848BC">
            <w:pPr>
              <w:numPr>
                <w:ilvl w:val="0"/>
                <w:numId w:val="35"/>
              </w:numPr>
              <w:rPr>
                <w:rFonts w:ascii="Calibri" w:hAnsi="Calibri" w:cs="Calibri"/>
                <w:sz w:val="22"/>
                <w:szCs w:val="22"/>
              </w:rPr>
            </w:pPr>
            <w:r>
              <w:rPr>
                <w:rFonts w:ascii="Calibri" w:hAnsi="Calibri" w:cs="Calibri"/>
                <w:sz w:val="22"/>
                <w:szCs w:val="22"/>
              </w:rPr>
              <w:t xml:space="preserve">BPH: </w:t>
            </w:r>
            <w:r w:rsidRPr="008B6B9E">
              <w:rPr>
                <w:rFonts w:ascii="Calibri" w:hAnsi="Calibri" w:cs="Calibri"/>
                <w:sz w:val="22"/>
                <w:szCs w:val="22"/>
              </w:rPr>
              <w:t>5 mg once daily taken at approximately the same time every day</w:t>
            </w:r>
          </w:p>
          <w:p w:rsidR="006848BC" w:rsidRDefault="006848BC" w:rsidP="006848BC">
            <w:pPr>
              <w:numPr>
                <w:ilvl w:val="1"/>
                <w:numId w:val="35"/>
              </w:numPr>
              <w:rPr>
                <w:rFonts w:ascii="Calibri" w:hAnsi="Calibri" w:cs="Calibri"/>
                <w:sz w:val="22"/>
                <w:szCs w:val="22"/>
              </w:rPr>
            </w:pPr>
            <w:r w:rsidRPr="008B6B9E">
              <w:rPr>
                <w:rFonts w:ascii="Calibri" w:hAnsi="Calibri" w:cs="Calibri"/>
                <w:sz w:val="22"/>
                <w:szCs w:val="22"/>
              </w:rPr>
              <w:t xml:space="preserve">When tadalafil is used with finasteride to initiate BPH therapy, the recommended duration of therapy is </w:t>
            </w:r>
            <w:r>
              <w:rPr>
                <w:rFonts w:ascii="Calibri" w:hAnsi="Calibri" w:cs="Calibri"/>
                <w:sz w:val="22"/>
                <w:szCs w:val="22"/>
              </w:rPr>
              <w:t xml:space="preserve">≤ </w:t>
            </w:r>
            <w:r w:rsidRPr="008B6B9E">
              <w:rPr>
                <w:rFonts w:ascii="Calibri" w:hAnsi="Calibri" w:cs="Calibri"/>
                <w:sz w:val="22"/>
                <w:szCs w:val="22"/>
              </w:rPr>
              <w:t>26 weeks</w:t>
            </w:r>
          </w:p>
          <w:p w:rsidR="006848BC" w:rsidRDefault="006848BC" w:rsidP="006848BC">
            <w:pPr>
              <w:numPr>
                <w:ilvl w:val="0"/>
                <w:numId w:val="35"/>
              </w:numPr>
              <w:rPr>
                <w:rFonts w:ascii="Calibri" w:hAnsi="Calibri" w:cs="Calibri"/>
                <w:sz w:val="22"/>
                <w:szCs w:val="22"/>
              </w:rPr>
            </w:pPr>
            <w:r>
              <w:rPr>
                <w:rFonts w:ascii="Calibri" w:hAnsi="Calibri" w:cs="Calibri"/>
                <w:sz w:val="22"/>
                <w:szCs w:val="22"/>
              </w:rPr>
              <w:t>CrCl 30 – 50 mL/min: initial dose of 2.5 mg is recommended.  An increase to 5 mg may be considered</w:t>
            </w:r>
          </w:p>
          <w:p w:rsidR="006848BC" w:rsidRDefault="006848BC" w:rsidP="006848BC">
            <w:pPr>
              <w:numPr>
                <w:ilvl w:val="0"/>
                <w:numId w:val="35"/>
              </w:numPr>
              <w:rPr>
                <w:rFonts w:ascii="Calibri" w:hAnsi="Calibri" w:cs="Calibri"/>
                <w:sz w:val="22"/>
                <w:szCs w:val="22"/>
              </w:rPr>
            </w:pPr>
            <w:r>
              <w:rPr>
                <w:rFonts w:ascii="Calibri" w:hAnsi="Calibri" w:cs="Calibri"/>
                <w:sz w:val="22"/>
                <w:szCs w:val="22"/>
              </w:rPr>
              <w:t>Patients taking potent CYP3A4 inhibitors: 2.5 mg once daily (max dose)</w:t>
            </w:r>
          </w:p>
          <w:p w:rsidR="006848BC" w:rsidRDefault="006848BC" w:rsidP="006848BC">
            <w:pPr>
              <w:numPr>
                <w:ilvl w:val="0"/>
                <w:numId w:val="35"/>
              </w:numPr>
              <w:rPr>
                <w:rFonts w:ascii="Calibri" w:hAnsi="Calibri" w:cs="Calibri"/>
                <w:sz w:val="22"/>
                <w:szCs w:val="22"/>
              </w:rPr>
            </w:pPr>
            <w:r>
              <w:rPr>
                <w:rFonts w:ascii="Calibri" w:hAnsi="Calibri" w:cs="Calibri"/>
                <w:sz w:val="22"/>
                <w:szCs w:val="22"/>
              </w:rPr>
              <w:t>Tadalafil is not recommend for use in combination with alpha-blockers for the treatment of BPH</w:t>
            </w:r>
          </w:p>
          <w:p w:rsidR="00EF4F71" w:rsidRPr="006848BC" w:rsidRDefault="006848BC" w:rsidP="006848BC">
            <w:pPr>
              <w:numPr>
                <w:ilvl w:val="0"/>
                <w:numId w:val="35"/>
              </w:numPr>
              <w:rPr>
                <w:rFonts w:ascii="Calibri" w:hAnsi="Calibri" w:cs="Calibri"/>
                <w:sz w:val="22"/>
                <w:szCs w:val="22"/>
              </w:rPr>
            </w:pPr>
            <w:r w:rsidRPr="006848BC">
              <w:rPr>
                <w:rFonts w:ascii="Calibri" w:hAnsi="Calibri" w:cs="Calibri"/>
                <w:sz w:val="22"/>
                <w:szCs w:val="22"/>
              </w:rPr>
              <w:t>Patients on alpha-blocker therapy for BPH should discontinue their alpha-blocker at least one day prior to starting tadalafil</w:t>
            </w:r>
          </w:p>
        </w:tc>
      </w:tr>
    </w:tbl>
    <w:p w:rsidR="00031F67" w:rsidRPr="00031F67" w:rsidRDefault="00031F67" w:rsidP="00031F67">
      <w:pPr>
        <w:rPr>
          <w:rFonts w:asciiTheme="minorHAnsi" w:hAnsiTheme="minorHAnsi" w:cstheme="minorHAnsi"/>
          <w:b/>
          <w:sz w:val="22"/>
          <w:szCs w:val="22"/>
        </w:rPr>
      </w:pPr>
    </w:p>
    <w:p w:rsidR="00031F67" w:rsidRPr="0046510C" w:rsidRDefault="00031F67" w:rsidP="00031F67">
      <w:pPr>
        <w:rPr>
          <w:rFonts w:asciiTheme="majorHAnsi" w:hAnsiTheme="majorHAnsi" w:cstheme="minorHAnsi"/>
          <w:b/>
          <w:sz w:val="22"/>
          <w:szCs w:val="22"/>
        </w:rPr>
      </w:pPr>
      <w:r w:rsidRPr="0046510C">
        <w:rPr>
          <w:rFonts w:asciiTheme="majorHAnsi" w:hAnsiTheme="majorHAnsi" w:cstheme="minorHAnsi"/>
          <w:b/>
          <w:sz w:val="22"/>
          <w:szCs w:val="22"/>
        </w:rPr>
        <w:t>BOXED WARNINGS and CONTRAINDICATIONS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4019"/>
        <w:gridCol w:w="4186"/>
      </w:tblGrid>
      <w:tr w:rsidR="00031F67" w:rsidRPr="00031F67" w:rsidTr="00872769">
        <w:trPr>
          <w:tblHeader/>
        </w:trPr>
        <w:tc>
          <w:tcPr>
            <w:tcW w:w="1276" w:type="pct"/>
            <w:shd w:val="clear" w:color="auto" w:fill="7E0000"/>
          </w:tcPr>
          <w:p w:rsidR="00031F67" w:rsidRPr="00B569FA" w:rsidRDefault="00031F67" w:rsidP="00C95E8D">
            <w:pPr>
              <w:rPr>
                <w:rFonts w:asciiTheme="minorHAnsi" w:hAnsiTheme="minorHAnsi" w:cstheme="minorHAnsi"/>
                <w:b/>
                <w:color w:val="FFFFFF" w:themeColor="background1"/>
                <w:sz w:val="22"/>
                <w:szCs w:val="22"/>
              </w:rPr>
            </w:pPr>
            <w:r w:rsidRPr="00B569FA">
              <w:rPr>
                <w:rFonts w:asciiTheme="minorHAnsi" w:hAnsiTheme="minorHAnsi" w:cstheme="minorHAnsi"/>
                <w:b/>
                <w:color w:val="FFFFFF" w:themeColor="background1"/>
                <w:sz w:val="22"/>
                <w:szCs w:val="22"/>
              </w:rPr>
              <w:t>Medication</w:t>
            </w:r>
          </w:p>
        </w:tc>
        <w:tc>
          <w:tcPr>
            <w:tcW w:w="1824" w:type="pct"/>
            <w:shd w:val="clear" w:color="auto" w:fill="7E0000"/>
          </w:tcPr>
          <w:p w:rsidR="00031F67" w:rsidRPr="00B569FA" w:rsidRDefault="00031F67" w:rsidP="00C95E8D">
            <w:pPr>
              <w:rPr>
                <w:rFonts w:asciiTheme="minorHAnsi" w:hAnsiTheme="minorHAnsi" w:cstheme="minorHAnsi"/>
                <w:b/>
                <w:color w:val="FFFFFF" w:themeColor="background1"/>
                <w:sz w:val="22"/>
                <w:szCs w:val="22"/>
              </w:rPr>
            </w:pPr>
            <w:r w:rsidRPr="00B569FA">
              <w:rPr>
                <w:rFonts w:asciiTheme="minorHAnsi" w:hAnsiTheme="minorHAnsi" w:cstheme="minorHAnsi"/>
                <w:b/>
                <w:color w:val="FFFFFF" w:themeColor="background1"/>
                <w:sz w:val="22"/>
                <w:szCs w:val="22"/>
              </w:rPr>
              <w:t>Boxed Warnings</w:t>
            </w:r>
          </w:p>
        </w:tc>
        <w:tc>
          <w:tcPr>
            <w:tcW w:w="1900" w:type="pct"/>
            <w:shd w:val="clear" w:color="auto" w:fill="7E0000"/>
          </w:tcPr>
          <w:p w:rsidR="00031F67" w:rsidRPr="00B569FA" w:rsidRDefault="00031F67" w:rsidP="00C95E8D">
            <w:pPr>
              <w:rPr>
                <w:rFonts w:asciiTheme="minorHAnsi" w:hAnsiTheme="minorHAnsi" w:cstheme="minorHAnsi"/>
                <w:b/>
                <w:color w:val="FFFFFF" w:themeColor="background1"/>
                <w:sz w:val="22"/>
                <w:szCs w:val="22"/>
              </w:rPr>
            </w:pPr>
            <w:r w:rsidRPr="00B569FA">
              <w:rPr>
                <w:rFonts w:asciiTheme="minorHAnsi" w:hAnsiTheme="minorHAnsi" w:cstheme="minorHAnsi"/>
                <w:b/>
                <w:color w:val="FFFFFF" w:themeColor="background1"/>
                <w:sz w:val="22"/>
                <w:szCs w:val="22"/>
              </w:rPr>
              <w:t>Contraindications</w:t>
            </w:r>
          </w:p>
        </w:tc>
      </w:tr>
      <w:tr w:rsidR="006848BC" w:rsidRPr="00031F67" w:rsidTr="00EF715A">
        <w:trPr>
          <w:tblHeader/>
        </w:trPr>
        <w:tc>
          <w:tcPr>
            <w:tcW w:w="5000" w:type="pct"/>
            <w:gridSpan w:val="3"/>
            <w:shd w:val="clear" w:color="auto" w:fill="EEECE1" w:themeFill="background2"/>
            <w:vAlign w:val="center"/>
          </w:tcPr>
          <w:p w:rsidR="006848BC" w:rsidRPr="00B569FA" w:rsidRDefault="006848BC" w:rsidP="006848BC">
            <w:pPr>
              <w:jc w:val="center"/>
              <w:rPr>
                <w:rFonts w:asciiTheme="minorHAnsi" w:hAnsiTheme="minorHAnsi" w:cstheme="minorHAnsi"/>
                <w:b/>
                <w:color w:val="FFFFFF" w:themeColor="background1"/>
                <w:sz w:val="22"/>
                <w:szCs w:val="22"/>
              </w:rPr>
            </w:pPr>
            <w:r w:rsidRPr="00C67AA9">
              <w:rPr>
                <w:rFonts w:ascii="Calibri" w:hAnsi="Calibri" w:cs="Calibri"/>
                <w:b/>
                <w:color w:val="000000"/>
                <w:sz w:val="22"/>
                <w:szCs w:val="22"/>
              </w:rPr>
              <w:t>Alpha-</w:t>
            </w:r>
            <w:r>
              <w:rPr>
                <w:rFonts w:ascii="Calibri" w:hAnsi="Calibri" w:cs="Calibri"/>
                <w:b/>
                <w:color w:val="000000"/>
                <w:sz w:val="22"/>
                <w:szCs w:val="22"/>
              </w:rPr>
              <w:t>Adrenergic Blocking A</w:t>
            </w:r>
            <w:r w:rsidRPr="00C67AA9">
              <w:rPr>
                <w:rFonts w:ascii="Calibri" w:hAnsi="Calibri" w:cs="Calibri"/>
                <w:b/>
                <w:color w:val="000000"/>
                <w:sz w:val="22"/>
                <w:szCs w:val="22"/>
              </w:rPr>
              <w:t>gent</w:t>
            </w:r>
            <w:r>
              <w:rPr>
                <w:rFonts w:ascii="Calibri" w:hAnsi="Calibri" w:cs="Calibri"/>
                <w:b/>
                <w:color w:val="000000"/>
                <w:sz w:val="22"/>
                <w:szCs w:val="22"/>
              </w:rPr>
              <w:t>s and Combinations</w:t>
            </w:r>
          </w:p>
        </w:tc>
      </w:tr>
      <w:tr w:rsidR="006F1E56" w:rsidRPr="00031F67" w:rsidTr="00C56A50">
        <w:tc>
          <w:tcPr>
            <w:tcW w:w="1276" w:type="pct"/>
            <w:shd w:val="clear" w:color="auto" w:fill="auto"/>
            <w:vAlign w:val="center"/>
          </w:tcPr>
          <w:p w:rsidR="006F1E56" w:rsidRPr="00BB03CF" w:rsidRDefault="006F1E56" w:rsidP="00C56A50">
            <w:pPr>
              <w:rPr>
                <w:rFonts w:ascii="Calibri" w:hAnsi="Calibri" w:cs="Calibri"/>
                <w:color w:val="000000"/>
                <w:sz w:val="22"/>
                <w:szCs w:val="22"/>
              </w:rPr>
            </w:pPr>
            <w:r>
              <w:rPr>
                <w:rFonts w:ascii="Calibri" w:hAnsi="Calibri" w:cs="Calibri"/>
                <w:color w:val="000000"/>
                <w:sz w:val="22"/>
                <w:szCs w:val="22"/>
              </w:rPr>
              <w:t xml:space="preserve">alfuzosin (Uroxatral®) </w:t>
            </w:r>
          </w:p>
        </w:tc>
        <w:tc>
          <w:tcPr>
            <w:tcW w:w="1824" w:type="pct"/>
            <w:shd w:val="clear" w:color="auto" w:fill="auto"/>
          </w:tcPr>
          <w:p w:rsidR="006F1E56" w:rsidRPr="00031F67" w:rsidRDefault="00C56A50" w:rsidP="00C95E8D">
            <w:pPr>
              <w:rPr>
                <w:rFonts w:asciiTheme="minorHAnsi" w:hAnsiTheme="minorHAnsi" w:cstheme="minorHAnsi"/>
                <w:sz w:val="22"/>
                <w:szCs w:val="22"/>
              </w:rPr>
            </w:pPr>
            <w:r>
              <w:rPr>
                <w:rFonts w:asciiTheme="minorHAnsi" w:hAnsiTheme="minorHAnsi" w:cstheme="minorHAnsi"/>
                <w:sz w:val="22"/>
                <w:szCs w:val="22"/>
              </w:rPr>
              <w:t>None</w:t>
            </w:r>
          </w:p>
        </w:tc>
        <w:tc>
          <w:tcPr>
            <w:tcW w:w="1900" w:type="pct"/>
            <w:shd w:val="clear" w:color="auto" w:fill="auto"/>
          </w:tcPr>
          <w:p w:rsidR="006F1E56" w:rsidRPr="00031F67" w:rsidRDefault="00C56A50" w:rsidP="00C95E8D">
            <w:pPr>
              <w:rPr>
                <w:rFonts w:asciiTheme="minorHAnsi" w:hAnsiTheme="minorHAnsi" w:cstheme="minorHAnsi"/>
                <w:sz w:val="22"/>
                <w:szCs w:val="22"/>
              </w:rPr>
            </w:pPr>
            <w:r>
              <w:rPr>
                <w:rFonts w:asciiTheme="minorHAnsi" w:hAnsiTheme="minorHAnsi" w:cstheme="minorHAnsi"/>
                <w:sz w:val="22"/>
                <w:szCs w:val="22"/>
              </w:rPr>
              <w:t>M</w:t>
            </w:r>
            <w:r w:rsidRPr="00C56A50">
              <w:rPr>
                <w:rFonts w:asciiTheme="minorHAnsi" w:hAnsiTheme="minorHAnsi" w:cstheme="minorHAnsi"/>
                <w:sz w:val="22"/>
                <w:szCs w:val="22"/>
              </w:rPr>
              <w:t>oderate or severe hepatic impairment (Child-Pugh class B and C); concurrent use with potent CYP3A4 inhibitors</w:t>
            </w:r>
          </w:p>
        </w:tc>
      </w:tr>
      <w:tr w:rsidR="006F1E56" w:rsidRPr="00031F67" w:rsidTr="00C56A50">
        <w:tc>
          <w:tcPr>
            <w:tcW w:w="1276" w:type="pct"/>
            <w:shd w:val="clear" w:color="auto" w:fill="auto"/>
            <w:vAlign w:val="center"/>
          </w:tcPr>
          <w:p w:rsidR="006F1E56" w:rsidRDefault="006F1E56" w:rsidP="00C56A50">
            <w:pPr>
              <w:rPr>
                <w:rFonts w:ascii="Calibri" w:hAnsi="Calibri" w:cs="Calibri"/>
                <w:color w:val="000000"/>
                <w:sz w:val="22"/>
                <w:szCs w:val="22"/>
              </w:rPr>
            </w:pPr>
            <w:r>
              <w:rPr>
                <w:rFonts w:ascii="Calibri" w:hAnsi="Calibri" w:cs="Calibri"/>
                <w:color w:val="000000"/>
                <w:sz w:val="22"/>
                <w:szCs w:val="22"/>
              </w:rPr>
              <w:t xml:space="preserve">Rapaflo® (sildosin) </w:t>
            </w:r>
          </w:p>
        </w:tc>
        <w:tc>
          <w:tcPr>
            <w:tcW w:w="1824" w:type="pct"/>
            <w:shd w:val="clear" w:color="auto" w:fill="auto"/>
          </w:tcPr>
          <w:p w:rsidR="006F1E56" w:rsidRPr="00031F67" w:rsidRDefault="00C56A50" w:rsidP="00C95E8D">
            <w:pPr>
              <w:rPr>
                <w:rFonts w:asciiTheme="minorHAnsi" w:hAnsiTheme="minorHAnsi" w:cstheme="minorHAnsi"/>
                <w:sz w:val="22"/>
                <w:szCs w:val="22"/>
              </w:rPr>
            </w:pPr>
            <w:r>
              <w:rPr>
                <w:rFonts w:asciiTheme="minorHAnsi" w:hAnsiTheme="minorHAnsi" w:cstheme="minorHAnsi"/>
                <w:sz w:val="22"/>
                <w:szCs w:val="22"/>
              </w:rPr>
              <w:t>None</w:t>
            </w:r>
          </w:p>
        </w:tc>
        <w:tc>
          <w:tcPr>
            <w:tcW w:w="1900" w:type="pct"/>
            <w:shd w:val="clear" w:color="auto" w:fill="auto"/>
          </w:tcPr>
          <w:p w:rsidR="006F1E56" w:rsidRPr="00031F67" w:rsidRDefault="00C56A50" w:rsidP="00C95E8D">
            <w:pPr>
              <w:rPr>
                <w:rFonts w:asciiTheme="minorHAnsi" w:hAnsiTheme="minorHAnsi" w:cstheme="minorHAnsi"/>
                <w:sz w:val="22"/>
                <w:szCs w:val="22"/>
              </w:rPr>
            </w:pPr>
            <w:r>
              <w:rPr>
                <w:rFonts w:asciiTheme="minorHAnsi" w:hAnsiTheme="minorHAnsi" w:cstheme="minorHAnsi"/>
                <w:sz w:val="22"/>
                <w:szCs w:val="22"/>
              </w:rPr>
              <w:t>Concurrent use with strong CYP3A4 inhibitors, severe renal impairment (CrCl &lt; 30 mL/min), severe hepatic impairment (Child-Pugh class C)</w:t>
            </w:r>
          </w:p>
        </w:tc>
      </w:tr>
      <w:tr w:rsidR="00C56A50" w:rsidRPr="00031F67" w:rsidTr="00C56A50">
        <w:tc>
          <w:tcPr>
            <w:tcW w:w="1276" w:type="pct"/>
            <w:shd w:val="clear" w:color="auto" w:fill="auto"/>
            <w:vAlign w:val="center"/>
          </w:tcPr>
          <w:p w:rsidR="00C56A50" w:rsidRPr="00414DD6" w:rsidRDefault="00C56A50" w:rsidP="00C56A50">
            <w:pPr>
              <w:rPr>
                <w:rFonts w:ascii="Calibri" w:hAnsi="Calibri" w:cs="Calibri"/>
                <w:color w:val="000000"/>
                <w:sz w:val="22"/>
                <w:szCs w:val="22"/>
              </w:rPr>
            </w:pPr>
            <w:r>
              <w:rPr>
                <w:rFonts w:ascii="Calibri" w:hAnsi="Calibri" w:cs="Calibri"/>
                <w:color w:val="000000"/>
                <w:sz w:val="22"/>
                <w:szCs w:val="22"/>
              </w:rPr>
              <w:t xml:space="preserve">Cardura XL® (doxazosin mesylate) </w:t>
            </w:r>
          </w:p>
        </w:tc>
        <w:tc>
          <w:tcPr>
            <w:tcW w:w="1824" w:type="pct"/>
            <w:vMerge w:val="restart"/>
            <w:shd w:val="clear" w:color="auto" w:fill="auto"/>
          </w:tcPr>
          <w:p w:rsidR="00C56A50" w:rsidRPr="00031F67" w:rsidRDefault="00C56A50" w:rsidP="00C95E8D">
            <w:pPr>
              <w:rPr>
                <w:rFonts w:asciiTheme="minorHAnsi" w:hAnsiTheme="minorHAnsi" w:cstheme="minorHAnsi"/>
                <w:sz w:val="22"/>
                <w:szCs w:val="22"/>
              </w:rPr>
            </w:pPr>
            <w:r>
              <w:rPr>
                <w:rFonts w:asciiTheme="minorHAnsi" w:hAnsiTheme="minorHAnsi" w:cstheme="minorHAnsi"/>
                <w:sz w:val="22"/>
                <w:szCs w:val="22"/>
              </w:rPr>
              <w:t>None</w:t>
            </w:r>
          </w:p>
        </w:tc>
        <w:tc>
          <w:tcPr>
            <w:tcW w:w="1900" w:type="pct"/>
            <w:vMerge w:val="restart"/>
            <w:shd w:val="clear" w:color="auto" w:fill="auto"/>
          </w:tcPr>
          <w:p w:rsidR="00C56A50" w:rsidRPr="00031F67" w:rsidRDefault="00C56A50" w:rsidP="00C95E8D">
            <w:pPr>
              <w:rPr>
                <w:rFonts w:asciiTheme="minorHAnsi" w:hAnsiTheme="minorHAnsi" w:cstheme="minorHAnsi"/>
                <w:sz w:val="22"/>
                <w:szCs w:val="22"/>
              </w:rPr>
            </w:pPr>
            <w:r>
              <w:rPr>
                <w:rFonts w:asciiTheme="minorHAnsi" w:hAnsiTheme="minorHAnsi" w:cstheme="minorHAnsi"/>
                <w:sz w:val="22"/>
                <w:szCs w:val="22"/>
              </w:rPr>
              <w:t>None</w:t>
            </w:r>
          </w:p>
        </w:tc>
      </w:tr>
      <w:tr w:rsidR="00C56A50" w:rsidRPr="00031F67" w:rsidTr="00C56A50">
        <w:tc>
          <w:tcPr>
            <w:tcW w:w="1276" w:type="pct"/>
            <w:shd w:val="clear" w:color="auto" w:fill="auto"/>
            <w:vAlign w:val="center"/>
          </w:tcPr>
          <w:p w:rsidR="00C56A50" w:rsidRPr="00382D45" w:rsidRDefault="00C56A50" w:rsidP="00C56A50">
            <w:pPr>
              <w:rPr>
                <w:rFonts w:ascii="Calibri" w:hAnsi="Calibri" w:cs="Calibri"/>
                <w:color w:val="000000"/>
                <w:sz w:val="22"/>
                <w:szCs w:val="22"/>
              </w:rPr>
            </w:pPr>
            <w:r>
              <w:rPr>
                <w:rFonts w:ascii="Calibri" w:hAnsi="Calibri" w:cs="Calibri"/>
                <w:color w:val="000000"/>
                <w:sz w:val="22"/>
                <w:szCs w:val="22"/>
              </w:rPr>
              <w:t xml:space="preserve">doxazosin mesylate </w:t>
            </w:r>
            <w:r>
              <w:rPr>
                <w:rFonts w:ascii="Calibri" w:hAnsi="Calibri" w:cs="Calibri"/>
                <w:color w:val="000000"/>
                <w:sz w:val="22"/>
                <w:szCs w:val="22"/>
              </w:rPr>
              <w:lastRenderedPageBreak/>
              <w:t>(Cardura®)</w:t>
            </w:r>
          </w:p>
        </w:tc>
        <w:tc>
          <w:tcPr>
            <w:tcW w:w="1824" w:type="pct"/>
            <w:vMerge/>
            <w:shd w:val="clear" w:color="auto" w:fill="auto"/>
          </w:tcPr>
          <w:p w:rsidR="00C56A50" w:rsidRPr="00031F67" w:rsidRDefault="00C56A50" w:rsidP="00C95E8D">
            <w:pPr>
              <w:rPr>
                <w:rFonts w:asciiTheme="minorHAnsi" w:hAnsiTheme="minorHAnsi" w:cstheme="minorHAnsi"/>
                <w:sz w:val="22"/>
                <w:szCs w:val="22"/>
              </w:rPr>
            </w:pPr>
          </w:p>
        </w:tc>
        <w:tc>
          <w:tcPr>
            <w:tcW w:w="1900" w:type="pct"/>
            <w:vMerge/>
            <w:shd w:val="clear" w:color="auto" w:fill="auto"/>
          </w:tcPr>
          <w:p w:rsidR="00C56A50" w:rsidRPr="00031F67" w:rsidRDefault="00C56A50" w:rsidP="00C95E8D">
            <w:pPr>
              <w:rPr>
                <w:rFonts w:asciiTheme="minorHAnsi" w:hAnsiTheme="minorHAnsi" w:cstheme="minorHAnsi"/>
                <w:sz w:val="22"/>
                <w:szCs w:val="22"/>
              </w:rPr>
            </w:pPr>
          </w:p>
        </w:tc>
      </w:tr>
      <w:tr w:rsidR="006F1E56" w:rsidRPr="00031F67" w:rsidTr="00C56A50">
        <w:tc>
          <w:tcPr>
            <w:tcW w:w="1276" w:type="pct"/>
            <w:shd w:val="clear" w:color="auto" w:fill="auto"/>
            <w:vAlign w:val="center"/>
          </w:tcPr>
          <w:p w:rsidR="006F1E56" w:rsidRPr="00567B9D" w:rsidRDefault="006F1E56" w:rsidP="00C56A50">
            <w:pPr>
              <w:rPr>
                <w:rFonts w:ascii="Calibri" w:hAnsi="Calibri" w:cs="Calibri"/>
                <w:color w:val="000000"/>
                <w:sz w:val="22"/>
                <w:szCs w:val="22"/>
              </w:rPr>
            </w:pPr>
            <w:r>
              <w:rPr>
                <w:rFonts w:ascii="Calibri" w:hAnsi="Calibri" w:cs="Calibri"/>
                <w:color w:val="000000"/>
                <w:sz w:val="22"/>
                <w:szCs w:val="22"/>
              </w:rPr>
              <w:lastRenderedPageBreak/>
              <w:t>terazosin</w:t>
            </w:r>
          </w:p>
        </w:tc>
        <w:tc>
          <w:tcPr>
            <w:tcW w:w="1824" w:type="pct"/>
            <w:shd w:val="clear" w:color="auto" w:fill="auto"/>
          </w:tcPr>
          <w:p w:rsidR="006F1E56" w:rsidRPr="00031F67" w:rsidRDefault="00C56A50" w:rsidP="00C95E8D">
            <w:pPr>
              <w:rPr>
                <w:rFonts w:asciiTheme="minorHAnsi" w:hAnsiTheme="minorHAnsi" w:cstheme="minorHAnsi"/>
                <w:sz w:val="22"/>
                <w:szCs w:val="22"/>
              </w:rPr>
            </w:pPr>
            <w:r>
              <w:rPr>
                <w:rFonts w:asciiTheme="minorHAnsi" w:hAnsiTheme="minorHAnsi" w:cstheme="minorHAnsi"/>
                <w:sz w:val="22"/>
                <w:szCs w:val="22"/>
              </w:rPr>
              <w:t>None</w:t>
            </w:r>
          </w:p>
        </w:tc>
        <w:tc>
          <w:tcPr>
            <w:tcW w:w="1900" w:type="pct"/>
            <w:shd w:val="clear" w:color="auto" w:fill="auto"/>
          </w:tcPr>
          <w:p w:rsidR="006F1E56" w:rsidRPr="00031F67" w:rsidRDefault="00C56A50" w:rsidP="00C95E8D">
            <w:pPr>
              <w:rPr>
                <w:rFonts w:asciiTheme="minorHAnsi" w:hAnsiTheme="minorHAnsi" w:cstheme="minorHAnsi"/>
                <w:sz w:val="22"/>
                <w:szCs w:val="22"/>
              </w:rPr>
            </w:pPr>
            <w:r>
              <w:rPr>
                <w:rFonts w:asciiTheme="minorHAnsi" w:hAnsiTheme="minorHAnsi" w:cstheme="minorHAnsi"/>
                <w:sz w:val="22"/>
                <w:szCs w:val="22"/>
              </w:rPr>
              <w:t>None</w:t>
            </w:r>
          </w:p>
        </w:tc>
      </w:tr>
      <w:tr w:rsidR="006F1E56" w:rsidRPr="00031F67" w:rsidTr="00C56A50">
        <w:tc>
          <w:tcPr>
            <w:tcW w:w="1276" w:type="pct"/>
            <w:shd w:val="clear" w:color="auto" w:fill="auto"/>
            <w:vAlign w:val="center"/>
          </w:tcPr>
          <w:p w:rsidR="006F1E56" w:rsidRPr="00212290" w:rsidRDefault="006F1E56" w:rsidP="00C56A50">
            <w:pPr>
              <w:rPr>
                <w:rFonts w:ascii="Calibri" w:hAnsi="Calibri" w:cs="Calibri"/>
                <w:color w:val="000000"/>
                <w:sz w:val="22"/>
                <w:szCs w:val="22"/>
              </w:rPr>
            </w:pPr>
            <w:r>
              <w:rPr>
                <w:rFonts w:ascii="Calibri" w:hAnsi="Calibri" w:cs="Calibri"/>
                <w:color w:val="000000"/>
                <w:sz w:val="22"/>
                <w:szCs w:val="22"/>
              </w:rPr>
              <w:t xml:space="preserve">tamsulosin (Flomax®) </w:t>
            </w:r>
          </w:p>
        </w:tc>
        <w:tc>
          <w:tcPr>
            <w:tcW w:w="1824" w:type="pct"/>
            <w:shd w:val="clear" w:color="auto" w:fill="auto"/>
          </w:tcPr>
          <w:p w:rsidR="006F1E56" w:rsidRPr="00031F67" w:rsidRDefault="006252CC" w:rsidP="00C95E8D">
            <w:pPr>
              <w:rPr>
                <w:rFonts w:asciiTheme="minorHAnsi" w:hAnsiTheme="minorHAnsi" w:cstheme="minorHAnsi"/>
                <w:sz w:val="22"/>
                <w:szCs w:val="22"/>
              </w:rPr>
            </w:pPr>
            <w:r>
              <w:rPr>
                <w:rFonts w:asciiTheme="minorHAnsi" w:hAnsiTheme="minorHAnsi" w:cstheme="minorHAnsi"/>
                <w:sz w:val="22"/>
                <w:szCs w:val="22"/>
              </w:rPr>
              <w:t>None</w:t>
            </w:r>
          </w:p>
        </w:tc>
        <w:tc>
          <w:tcPr>
            <w:tcW w:w="1900" w:type="pct"/>
            <w:shd w:val="clear" w:color="auto" w:fill="auto"/>
          </w:tcPr>
          <w:p w:rsidR="006F1E56" w:rsidRPr="00031F67" w:rsidRDefault="006252CC" w:rsidP="00C95E8D">
            <w:pPr>
              <w:rPr>
                <w:rFonts w:asciiTheme="minorHAnsi" w:hAnsiTheme="minorHAnsi" w:cstheme="minorHAnsi"/>
                <w:sz w:val="22"/>
                <w:szCs w:val="22"/>
              </w:rPr>
            </w:pPr>
            <w:r>
              <w:rPr>
                <w:rFonts w:asciiTheme="minorHAnsi" w:hAnsiTheme="minorHAnsi" w:cstheme="minorHAnsi"/>
                <w:sz w:val="22"/>
                <w:szCs w:val="22"/>
              </w:rPr>
              <w:t>None</w:t>
            </w:r>
          </w:p>
        </w:tc>
      </w:tr>
      <w:tr w:rsidR="007B25D2" w:rsidRPr="00031F67" w:rsidTr="00C56A50">
        <w:tc>
          <w:tcPr>
            <w:tcW w:w="1276" w:type="pct"/>
            <w:shd w:val="clear" w:color="auto" w:fill="auto"/>
            <w:vAlign w:val="center"/>
          </w:tcPr>
          <w:p w:rsidR="007B25D2" w:rsidRDefault="007B25D2" w:rsidP="00C56A50">
            <w:pPr>
              <w:rPr>
                <w:rFonts w:ascii="Calibri" w:hAnsi="Calibri" w:cs="Calibri"/>
                <w:color w:val="000000"/>
                <w:sz w:val="22"/>
                <w:szCs w:val="22"/>
              </w:rPr>
            </w:pPr>
            <w:r>
              <w:rPr>
                <w:rFonts w:ascii="Calibri" w:hAnsi="Calibri" w:cs="Calibri"/>
                <w:color w:val="000000"/>
                <w:sz w:val="22"/>
                <w:szCs w:val="22"/>
              </w:rPr>
              <w:t>dutasteride/tamsulosin (Jalyn®)</w:t>
            </w:r>
          </w:p>
        </w:tc>
        <w:tc>
          <w:tcPr>
            <w:tcW w:w="1824" w:type="pct"/>
            <w:shd w:val="clear" w:color="auto" w:fill="auto"/>
          </w:tcPr>
          <w:p w:rsidR="007B25D2" w:rsidRPr="00031F67" w:rsidRDefault="007B25D2" w:rsidP="00C95E8D">
            <w:pPr>
              <w:rPr>
                <w:rFonts w:asciiTheme="minorHAnsi" w:hAnsiTheme="minorHAnsi" w:cstheme="minorHAnsi"/>
                <w:sz w:val="22"/>
                <w:szCs w:val="22"/>
              </w:rPr>
            </w:pPr>
            <w:r>
              <w:rPr>
                <w:rFonts w:asciiTheme="minorHAnsi" w:hAnsiTheme="minorHAnsi" w:cstheme="minorHAnsi"/>
                <w:sz w:val="22"/>
                <w:szCs w:val="22"/>
              </w:rPr>
              <w:t>None</w:t>
            </w:r>
          </w:p>
        </w:tc>
        <w:tc>
          <w:tcPr>
            <w:tcW w:w="1900" w:type="pct"/>
            <w:shd w:val="clear" w:color="auto" w:fill="auto"/>
          </w:tcPr>
          <w:p w:rsidR="007B25D2" w:rsidRPr="00031F67" w:rsidRDefault="007B25D2" w:rsidP="00C56A50">
            <w:pPr>
              <w:rPr>
                <w:rFonts w:asciiTheme="minorHAnsi" w:hAnsiTheme="minorHAnsi" w:cstheme="minorHAnsi"/>
                <w:sz w:val="22"/>
                <w:szCs w:val="22"/>
              </w:rPr>
            </w:pPr>
            <w:r>
              <w:rPr>
                <w:rFonts w:asciiTheme="minorHAnsi" w:hAnsiTheme="minorHAnsi" w:cstheme="minorHAnsi"/>
                <w:sz w:val="22"/>
                <w:szCs w:val="22"/>
              </w:rPr>
              <w:t>Use in pediatric patients, women of childbearing potential, or pregnant women</w:t>
            </w:r>
          </w:p>
        </w:tc>
      </w:tr>
      <w:tr w:rsidR="007B25D2" w:rsidRPr="00031F67" w:rsidTr="00EF715A">
        <w:tc>
          <w:tcPr>
            <w:tcW w:w="5000" w:type="pct"/>
            <w:gridSpan w:val="3"/>
            <w:shd w:val="clear" w:color="auto" w:fill="EEECE1" w:themeFill="background2"/>
          </w:tcPr>
          <w:p w:rsidR="007B25D2" w:rsidRPr="00031F67" w:rsidRDefault="007B25D2" w:rsidP="006848BC">
            <w:pPr>
              <w:jc w:val="center"/>
              <w:rPr>
                <w:rFonts w:asciiTheme="minorHAnsi" w:hAnsiTheme="minorHAnsi" w:cstheme="minorHAnsi"/>
                <w:sz w:val="22"/>
                <w:szCs w:val="22"/>
              </w:rPr>
            </w:pPr>
            <w:r w:rsidRPr="00C67AA9">
              <w:rPr>
                <w:rFonts w:asciiTheme="minorHAnsi" w:hAnsiTheme="minorHAnsi" w:cstheme="minorHAnsi"/>
                <w:b/>
                <w:sz w:val="22"/>
                <w:szCs w:val="22"/>
              </w:rPr>
              <w:t>5-Alpha Reductase Inhibitors</w:t>
            </w:r>
          </w:p>
        </w:tc>
      </w:tr>
      <w:tr w:rsidR="007B25D2" w:rsidRPr="00031F67" w:rsidTr="00C56A50">
        <w:tc>
          <w:tcPr>
            <w:tcW w:w="1276" w:type="pct"/>
            <w:shd w:val="clear" w:color="auto" w:fill="auto"/>
            <w:vAlign w:val="center"/>
          </w:tcPr>
          <w:p w:rsidR="007B25D2" w:rsidRPr="00567B9D" w:rsidRDefault="007B25D2" w:rsidP="00C56A50">
            <w:pPr>
              <w:rPr>
                <w:rFonts w:ascii="Calibri" w:hAnsi="Calibri" w:cs="Calibri"/>
                <w:color w:val="000000"/>
                <w:sz w:val="22"/>
                <w:szCs w:val="22"/>
              </w:rPr>
            </w:pPr>
            <w:r>
              <w:rPr>
                <w:rFonts w:ascii="Calibri" w:hAnsi="Calibri" w:cs="Calibri"/>
                <w:color w:val="000000"/>
                <w:sz w:val="22"/>
                <w:szCs w:val="22"/>
              </w:rPr>
              <w:t xml:space="preserve">finasteride (Proscar®) </w:t>
            </w:r>
          </w:p>
        </w:tc>
        <w:tc>
          <w:tcPr>
            <w:tcW w:w="1824" w:type="pct"/>
            <w:vMerge w:val="restart"/>
            <w:shd w:val="clear" w:color="auto" w:fill="auto"/>
          </w:tcPr>
          <w:p w:rsidR="007B25D2" w:rsidRPr="00031F67" w:rsidRDefault="007B25D2" w:rsidP="00C95E8D">
            <w:pPr>
              <w:rPr>
                <w:rFonts w:asciiTheme="minorHAnsi" w:hAnsiTheme="minorHAnsi" w:cstheme="minorHAnsi"/>
                <w:sz w:val="22"/>
                <w:szCs w:val="22"/>
              </w:rPr>
            </w:pPr>
            <w:r>
              <w:rPr>
                <w:rFonts w:asciiTheme="minorHAnsi" w:hAnsiTheme="minorHAnsi" w:cstheme="minorHAnsi"/>
                <w:sz w:val="22"/>
                <w:szCs w:val="22"/>
              </w:rPr>
              <w:t>None</w:t>
            </w:r>
          </w:p>
        </w:tc>
        <w:tc>
          <w:tcPr>
            <w:tcW w:w="1900" w:type="pct"/>
            <w:vMerge w:val="restart"/>
            <w:shd w:val="clear" w:color="auto" w:fill="auto"/>
          </w:tcPr>
          <w:p w:rsidR="007B25D2" w:rsidRPr="00031F67" w:rsidRDefault="007B25D2" w:rsidP="00C95E8D">
            <w:pPr>
              <w:rPr>
                <w:rFonts w:asciiTheme="minorHAnsi" w:hAnsiTheme="minorHAnsi" w:cstheme="minorHAnsi"/>
                <w:sz w:val="22"/>
                <w:szCs w:val="22"/>
              </w:rPr>
            </w:pPr>
            <w:r>
              <w:rPr>
                <w:rFonts w:asciiTheme="minorHAnsi" w:hAnsiTheme="minorHAnsi" w:cstheme="minorHAnsi"/>
                <w:sz w:val="22"/>
                <w:szCs w:val="22"/>
              </w:rPr>
              <w:t>Use in pediatric patients, women of childbearing potential, or pregnant women</w:t>
            </w:r>
          </w:p>
        </w:tc>
      </w:tr>
      <w:tr w:rsidR="007B25D2" w:rsidRPr="00031F67" w:rsidTr="00C56A50">
        <w:tc>
          <w:tcPr>
            <w:tcW w:w="1276" w:type="pct"/>
            <w:shd w:val="clear" w:color="auto" w:fill="auto"/>
            <w:vAlign w:val="center"/>
          </w:tcPr>
          <w:p w:rsidR="007B25D2" w:rsidRPr="00297ABB" w:rsidRDefault="007B25D2" w:rsidP="00C56A50">
            <w:pPr>
              <w:rPr>
                <w:rFonts w:ascii="Calibri" w:hAnsi="Calibri" w:cs="Calibri"/>
                <w:color w:val="000000"/>
                <w:sz w:val="22"/>
                <w:szCs w:val="22"/>
              </w:rPr>
            </w:pPr>
            <w:r>
              <w:rPr>
                <w:rFonts w:ascii="Calibri" w:hAnsi="Calibri" w:cs="Calibri"/>
                <w:color w:val="000000"/>
                <w:sz w:val="22"/>
                <w:szCs w:val="22"/>
              </w:rPr>
              <w:t xml:space="preserve">dutasteride (Avodart®) </w:t>
            </w:r>
          </w:p>
        </w:tc>
        <w:tc>
          <w:tcPr>
            <w:tcW w:w="1824" w:type="pct"/>
            <w:vMerge/>
            <w:shd w:val="clear" w:color="auto" w:fill="auto"/>
          </w:tcPr>
          <w:p w:rsidR="007B25D2" w:rsidRPr="00031F67" w:rsidRDefault="007B25D2" w:rsidP="00C95E8D">
            <w:pPr>
              <w:rPr>
                <w:rFonts w:asciiTheme="minorHAnsi" w:hAnsiTheme="minorHAnsi" w:cstheme="minorHAnsi"/>
                <w:sz w:val="22"/>
                <w:szCs w:val="22"/>
              </w:rPr>
            </w:pPr>
          </w:p>
        </w:tc>
        <w:tc>
          <w:tcPr>
            <w:tcW w:w="1900" w:type="pct"/>
            <w:vMerge/>
            <w:shd w:val="clear" w:color="auto" w:fill="auto"/>
          </w:tcPr>
          <w:p w:rsidR="007B25D2" w:rsidRPr="00031F67" w:rsidRDefault="007B25D2" w:rsidP="00C95E8D">
            <w:pPr>
              <w:rPr>
                <w:rFonts w:asciiTheme="minorHAnsi" w:hAnsiTheme="minorHAnsi" w:cstheme="minorHAnsi"/>
                <w:sz w:val="22"/>
                <w:szCs w:val="22"/>
              </w:rPr>
            </w:pPr>
          </w:p>
        </w:tc>
      </w:tr>
      <w:tr w:rsidR="007B25D2" w:rsidRPr="00031F67" w:rsidTr="00EF715A">
        <w:tc>
          <w:tcPr>
            <w:tcW w:w="5000" w:type="pct"/>
            <w:gridSpan w:val="3"/>
            <w:shd w:val="clear" w:color="auto" w:fill="EEECE1" w:themeFill="background2"/>
          </w:tcPr>
          <w:p w:rsidR="007B25D2" w:rsidRPr="00031F67" w:rsidRDefault="007B25D2" w:rsidP="006848BC">
            <w:pPr>
              <w:jc w:val="center"/>
              <w:rPr>
                <w:rFonts w:asciiTheme="minorHAnsi" w:hAnsiTheme="minorHAnsi" w:cstheme="minorHAnsi"/>
                <w:sz w:val="22"/>
                <w:szCs w:val="22"/>
              </w:rPr>
            </w:pPr>
            <w:r w:rsidRPr="00C67AA9">
              <w:rPr>
                <w:rFonts w:ascii="Calibri" w:hAnsi="Calibri" w:cs="Calibri"/>
                <w:b/>
                <w:color w:val="000000"/>
                <w:sz w:val="22"/>
                <w:szCs w:val="22"/>
              </w:rPr>
              <w:t>Phosphodiesterase Type 5 Inhibitors</w:t>
            </w:r>
          </w:p>
        </w:tc>
      </w:tr>
      <w:tr w:rsidR="007B25D2" w:rsidRPr="00031F67" w:rsidTr="00C56A50">
        <w:tc>
          <w:tcPr>
            <w:tcW w:w="1276" w:type="pct"/>
            <w:shd w:val="clear" w:color="auto" w:fill="auto"/>
            <w:vAlign w:val="center"/>
          </w:tcPr>
          <w:p w:rsidR="007B25D2" w:rsidRDefault="007B25D2" w:rsidP="00C56A50">
            <w:pPr>
              <w:rPr>
                <w:rFonts w:ascii="Calibri" w:hAnsi="Calibri" w:cs="Calibri"/>
                <w:color w:val="000000"/>
                <w:sz w:val="22"/>
                <w:szCs w:val="22"/>
              </w:rPr>
            </w:pPr>
            <w:r>
              <w:rPr>
                <w:rFonts w:ascii="Calibri" w:hAnsi="Calibri" w:cs="Calibri"/>
                <w:color w:val="000000"/>
                <w:sz w:val="22"/>
                <w:szCs w:val="22"/>
              </w:rPr>
              <w:t xml:space="preserve">Cialis® (tadalafil) </w:t>
            </w:r>
          </w:p>
        </w:tc>
        <w:tc>
          <w:tcPr>
            <w:tcW w:w="1824" w:type="pct"/>
            <w:shd w:val="clear" w:color="auto" w:fill="auto"/>
          </w:tcPr>
          <w:p w:rsidR="007B25D2" w:rsidRPr="00031F67" w:rsidRDefault="006252CC" w:rsidP="00C95E8D">
            <w:pPr>
              <w:rPr>
                <w:rFonts w:asciiTheme="minorHAnsi" w:hAnsiTheme="minorHAnsi" w:cstheme="minorHAnsi"/>
                <w:sz w:val="22"/>
                <w:szCs w:val="22"/>
              </w:rPr>
            </w:pPr>
            <w:r>
              <w:rPr>
                <w:rFonts w:asciiTheme="minorHAnsi" w:hAnsiTheme="minorHAnsi" w:cstheme="minorHAnsi"/>
                <w:sz w:val="22"/>
                <w:szCs w:val="22"/>
              </w:rPr>
              <w:t>None</w:t>
            </w:r>
          </w:p>
        </w:tc>
        <w:tc>
          <w:tcPr>
            <w:tcW w:w="1900" w:type="pct"/>
            <w:shd w:val="clear" w:color="auto" w:fill="auto"/>
          </w:tcPr>
          <w:p w:rsidR="007B25D2" w:rsidRPr="00031F67" w:rsidRDefault="006252CC" w:rsidP="00C95E8D">
            <w:pPr>
              <w:rPr>
                <w:rFonts w:asciiTheme="minorHAnsi" w:hAnsiTheme="minorHAnsi" w:cstheme="minorHAnsi"/>
                <w:sz w:val="22"/>
                <w:szCs w:val="22"/>
              </w:rPr>
            </w:pPr>
            <w:r>
              <w:rPr>
                <w:rFonts w:asciiTheme="minorHAnsi" w:hAnsiTheme="minorHAnsi" w:cstheme="minorHAnsi"/>
                <w:sz w:val="22"/>
                <w:szCs w:val="22"/>
              </w:rPr>
              <w:t>C</w:t>
            </w:r>
            <w:r w:rsidRPr="006252CC">
              <w:rPr>
                <w:rFonts w:asciiTheme="minorHAnsi" w:hAnsiTheme="minorHAnsi" w:cstheme="minorHAnsi"/>
                <w:sz w:val="22"/>
                <w:szCs w:val="22"/>
              </w:rPr>
              <w:t>oncurrent use of organic nitrate (regularly and/or intermittently) or guanylate cyclase stimulators (e</w:t>
            </w:r>
            <w:r>
              <w:rPr>
                <w:rFonts w:asciiTheme="minorHAnsi" w:hAnsiTheme="minorHAnsi" w:cstheme="minorHAnsi"/>
                <w:sz w:val="22"/>
                <w:szCs w:val="22"/>
              </w:rPr>
              <w:t>.</w:t>
            </w:r>
            <w:r w:rsidRPr="006252CC">
              <w:rPr>
                <w:rFonts w:asciiTheme="minorHAnsi" w:hAnsiTheme="minorHAnsi" w:cstheme="minorHAnsi"/>
                <w:sz w:val="22"/>
                <w:szCs w:val="22"/>
              </w:rPr>
              <w:t>g</w:t>
            </w:r>
            <w:r>
              <w:rPr>
                <w:rFonts w:asciiTheme="minorHAnsi" w:hAnsiTheme="minorHAnsi" w:cstheme="minorHAnsi"/>
                <w:sz w:val="22"/>
                <w:szCs w:val="22"/>
              </w:rPr>
              <w:t>.</w:t>
            </w:r>
            <w:r w:rsidRPr="006252CC">
              <w:rPr>
                <w:rFonts w:asciiTheme="minorHAnsi" w:hAnsiTheme="minorHAnsi" w:cstheme="minorHAnsi"/>
                <w:sz w:val="22"/>
                <w:szCs w:val="22"/>
              </w:rPr>
              <w:t>, riociguat).</w:t>
            </w:r>
          </w:p>
        </w:tc>
      </w:tr>
    </w:tbl>
    <w:p w:rsidR="00031F67" w:rsidRPr="00031F67" w:rsidRDefault="00031F67" w:rsidP="00031F67">
      <w:pPr>
        <w:rPr>
          <w:rFonts w:asciiTheme="minorHAnsi" w:hAnsiTheme="minorHAnsi" w:cstheme="minorHAnsi"/>
          <w:b/>
          <w:sz w:val="22"/>
          <w:szCs w:val="22"/>
        </w:rPr>
      </w:pPr>
    </w:p>
    <w:p w:rsidR="00031F67" w:rsidRPr="00605EB3" w:rsidRDefault="00031F67" w:rsidP="00031F67">
      <w:pPr>
        <w:rPr>
          <w:rFonts w:asciiTheme="majorHAnsi" w:hAnsiTheme="majorHAnsi" w:cstheme="minorHAnsi"/>
          <w:b/>
          <w:sz w:val="22"/>
          <w:szCs w:val="22"/>
        </w:rPr>
      </w:pPr>
      <w:r w:rsidRPr="00605EB3">
        <w:rPr>
          <w:rFonts w:asciiTheme="majorHAnsi" w:hAnsiTheme="majorHAnsi" w:cstheme="minorHAnsi"/>
          <w:b/>
          <w:sz w:val="22"/>
          <w:szCs w:val="22"/>
        </w:rPr>
        <w:t>WARNINGS/PRECAUTIONS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8205"/>
      </w:tblGrid>
      <w:tr w:rsidR="00031F67" w:rsidRPr="00031F67" w:rsidTr="00872769">
        <w:trPr>
          <w:tblHeader/>
        </w:trPr>
        <w:tc>
          <w:tcPr>
            <w:tcW w:w="1276" w:type="pct"/>
            <w:shd w:val="clear" w:color="auto" w:fill="7E0000"/>
          </w:tcPr>
          <w:p w:rsidR="00031F67" w:rsidRPr="00B569FA" w:rsidRDefault="00031F67" w:rsidP="00C95E8D">
            <w:pPr>
              <w:rPr>
                <w:rFonts w:asciiTheme="minorHAnsi" w:hAnsiTheme="minorHAnsi" w:cstheme="minorHAnsi"/>
                <w:b/>
                <w:color w:val="FFFFFF" w:themeColor="background1"/>
                <w:sz w:val="22"/>
                <w:szCs w:val="22"/>
              </w:rPr>
            </w:pPr>
            <w:r w:rsidRPr="00B569FA">
              <w:rPr>
                <w:rFonts w:asciiTheme="minorHAnsi" w:hAnsiTheme="minorHAnsi" w:cstheme="minorHAnsi"/>
                <w:b/>
                <w:color w:val="FFFFFF" w:themeColor="background1"/>
                <w:sz w:val="22"/>
                <w:szCs w:val="22"/>
              </w:rPr>
              <w:t>Medication</w:t>
            </w:r>
          </w:p>
        </w:tc>
        <w:tc>
          <w:tcPr>
            <w:tcW w:w="3724" w:type="pct"/>
            <w:shd w:val="clear" w:color="auto" w:fill="7E0000"/>
          </w:tcPr>
          <w:p w:rsidR="00031F67" w:rsidRPr="00B569FA" w:rsidRDefault="00031F67" w:rsidP="00C95E8D">
            <w:pPr>
              <w:rPr>
                <w:rFonts w:asciiTheme="minorHAnsi" w:hAnsiTheme="minorHAnsi" w:cstheme="minorHAnsi"/>
                <w:b/>
                <w:color w:val="FFFFFF" w:themeColor="background1"/>
                <w:sz w:val="22"/>
                <w:szCs w:val="22"/>
              </w:rPr>
            </w:pPr>
            <w:r w:rsidRPr="00B569FA">
              <w:rPr>
                <w:rFonts w:asciiTheme="minorHAnsi" w:hAnsiTheme="minorHAnsi" w:cstheme="minorHAnsi"/>
                <w:b/>
                <w:color w:val="FFFFFF" w:themeColor="background1"/>
                <w:sz w:val="22"/>
                <w:szCs w:val="22"/>
              </w:rPr>
              <w:t>Warnings/Precautions</w:t>
            </w:r>
          </w:p>
        </w:tc>
      </w:tr>
      <w:tr w:rsidR="006848BC" w:rsidRPr="00031F67" w:rsidTr="00EF715A">
        <w:tc>
          <w:tcPr>
            <w:tcW w:w="5000" w:type="pct"/>
            <w:gridSpan w:val="2"/>
            <w:shd w:val="clear" w:color="auto" w:fill="EEECE1" w:themeFill="background2"/>
            <w:vAlign w:val="center"/>
          </w:tcPr>
          <w:p w:rsidR="006848BC" w:rsidRPr="0018231D" w:rsidRDefault="006848BC" w:rsidP="006848BC">
            <w:pPr>
              <w:jc w:val="center"/>
              <w:rPr>
                <w:rFonts w:asciiTheme="minorHAnsi" w:hAnsiTheme="minorHAnsi" w:cstheme="minorHAnsi"/>
                <w:sz w:val="22"/>
                <w:szCs w:val="22"/>
              </w:rPr>
            </w:pPr>
            <w:r w:rsidRPr="00C67AA9">
              <w:rPr>
                <w:rFonts w:ascii="Calibri" w:hAnsi="Calibri" w:cs="Calibri"/>
                <w:b/>
                <w:color w:val="000000"/>
                <w:sz w:val="22"/>
                <w:szCs w:val="22"/>
              </w:rPr>
              <w:t>Alpha-</w:t>
            </w:r>
            <w:r>
              <w:rPr>
                <w:rFonts w:ascii="Calibri" w:hAnsi="Calibri" w:cs="Calibri"/>
                <w:b/>
                <w:color w:val="000000"/>
                <w:sz w:val="22"/>
                <w:szCs w:val="22"/>
              </w:rPr>
              <w:t>Adrenergic Blocking A</w:t>
            </w:r>
            <w:r w:rsidRPr="00C67AA9">
              <w:rPr>
                <w:rFonts w:ascii="Calibri" w:hAnsi="Calibri" w:cs="Calibri"/>
                <w:b/>
                <w:color w:val="000000"/>
                <w:sz w:val="22"/>
                <w:szCs w:val="22"/>
              </w:rPr>
              <w:t>gent</w:t>
            </w:r>
            <w:r>
              <w:rPr>
                <w:rFonts w:ascii="Calibri" w:hAnsi="Calibri" w:cs="Calibri"/>
                <w:b/>
                <w:color w:val="000000"/>
                <w:sz w:val="22"/>
                <w:szCs w:val="22"/>
              </w:rPr>
              <w:t>s and Combinations</w:t>
            </w:r>
          </w:p>
        </w:tc>
      </w:tr>
      <w:tr w:rsidR="006F1E56" w:rsidRPr="00031F67" w:rsidTr="00C56A50">
        <w:tc>
          <w:tcPr>
            <w:tcW w:w="1276" w:type="pct"/>
            <w:shd w:val="clear" w:color="auto" w:fill="auto"/>
            <w:vAlign w:val="center"/>
          </w:tcPr>
          <w:p w:rsidR="006F1E56" w:rsidRPr="00BB03CF" w:rsidRDefault="006F1E56" w:rsidP="00C56A50">
            <w:pPr>
              <w:rPr>
                <w:rFonts w:ascii="Calibri" w:hAnsi="Calibri" w:cs="Calibri"/>
                <w:color w:val="000000"/>
                <w:sz w:val="22"/>
                <w:szCs w:val="22"/>
              </w:rPr>
            </w:pPr>
            <w:r>
              <w:rPr>
                <w:rFonts w:ascii="Calibri" w:hAnsi="Calibri" w:cs="Calibri"/>
                <w:color w:val="000000"/>
                <w:sz w:val="22"/>
                <w:szCs w:val="22"/>
              </w:rPr>
              <w:t xml:space="preserve">alfuzosin (Uroxatral®) </w:t>
            </w:r>
          </w:p>
        </w:tc>
        <w:tc>
          <w:tcPr>
            <w:tcW w:w="3724" w:type="pct"/>
            <w:shd w:val="clear" w:color="auto" w:fill="auto"/>
          </w:tcPr>
          <w:p w:rsidR="00C56A50" w:rsidRDefault="00C56A50" w:rsidP="00C56A50">
            <w:pPr>
              <w:rPr>
                <w:rFonts w:asciiTheme="minorHAnsi" w:hAnsiTheme="minorHAnsi" w:cstheme="minorHAnsi"/>
                <w:sz w:val="22"/>
                <w:szCs w:val="22"/>
              </w:rPr>
            </w:pPr>
            <w:r>
              <w:rPr>
                <w:rFonts w:asciiTheme="minorHAnsi" w:hAnsiTheme="minorHAnsi" w:cstheme="minorHAnsi"/>
                <w:b/>
                <w:sz w:val="22"/>
                <w:szCs w:val="22"/>
              </w:rPr>
              <w:t>Concerns related to adverse effects:</w:t>
            </w:r>
            <w:r>
              <w:rPr>
                <w:rFonts w:asciiTheme="minorHAnsi" w:hAnsiTheme="minorHAnsi" w:cstheme="minorHAnsi"/>
                <w:sz w:val="22"/>
                <w:szCs w:val="22"/>
              </w:rPr>
              <w:t xml:space="preserve"> floppy iris syndrome, orthostatic hypotension/syncope, priapism, angina, CNS depression</w:t>
            </w:r>
          </w:p>
          <w:p w:rsidR="006F1E56" w:rsidRPr="00C56A50" w:rsidRDefault="00C56A50" w:rsidP="00242423">
            <w:pPr>
              <w:rPr>
                <w:rFonts w:asciiTheme="minorHAnsi" w:hAnsiTheme="minorHAnsi" w:cstheme="minorHAnsi"/>
                <w:sz w:val="22"/>
                <w:szCs w:val="22"/>
              </w:rPr>
            </w:pPr>
            <w:r>
              <w:rPr>
                <w:rFonts w:asciiTheme="minorHAnsi" w:hAnsiTheme="minorHAnsi" w:cstheme="minorHAnsi"/>
                <w:b/>
                <w:sz w:val="22"/>
                <w:szCs w:val="22"/>
              </w:rPr>
              <w:t xml:space="preserve">Disease related concerns: </w:t>
            </w:r>
            <w:r>
              <w:rPr>
                <w:rFonts w:asciiTheme="minorHAnsi" w:hAnsiTheme="minorHAnsi" w:cstheme="minorHAnsi"/>
                <w:sz w:val="22"/>
                <w:szCs w:val="22"/>
              </w:rPr>
              <w:t>use caution in patients with history of tachyarrythmia, mild hepatic impairment, known QT prolongation, severe renal impairment, rule out prostatic carcinoma</w:t>
            </w:r>
          </w:p>
        </w:tc>
      </w:tr>
      <w:tr w:rsidR="006F1E56" w:rsidRPr="00031F67" w:rsidTr="00C56A50">
        <w:tc>
          <w:tcPr>
            <w:tcW w:w="1276" w:type="pct"/>
            <w:shd w:val="clear" w:color="auto" w:fill="auto"/>
            <w:vAlign w:val="center"/>
          </w:tcPr>
          <w:p w:rsidR="006F1E56" w:rsidRDefault="006F1E56" w:rsidP="00C56A50">
            <w:pPr>
              <w:rPr>
                <w:rFonts w:ascii="Calibri" w:hAnsi="Calibri" w:cs="Calibri"/>
                <w:color w:val="000000"/>
                <w:sz w:val="22"/>
                <w:szCs w:val="22"/>
              </w:rPr>
            </w:pPr>
            <w:r>
              <w:rPr>
                <w:rFonts w:ascii="Calibri" w:hAnsi="Calibri" w:cs="Calibri"/>
                <w:color w:val="000000"/>
                <w:sz w:val="22"/>
                <w:szCs w:val="22"/>
              </w:rPr>
              <w:t xml:space="preserve">Rapaflo® (sildosin) </w:t>
            </w:r>
          </w:p>
        </w:tc>
        <w:tc>
          <w:tcPr>
            <w:tcW w:w="3724" w:type="pct"/>
            <w:shd w:val="clear" w:color="auto" w:fill="auto"/>
          </w:tcPr>
          <w:p w:rsidR="00C56A50" w:rsidRDefault="00C56A50" w:rsidP="00C56A50">
            <w:pPr>
              <w:rPr>
                <w:rFonts w:asciiTheme="minorHAnsi" w:hAnsiTheme="minorHAnsi" w:cstheme="minorHAnsi"/>
                <w:sz w:val="22"/>
                <w:szCs w:val="22"/>
              </w:rPr>
            </w:pPr>
            <w:r>
              <w:rPr>
                <w:rFonts w:asciiTheme="minorHAnsi" w:hAnsiTheme="minorHAnsi" w:cstheme="minorHAnsi"/>
                <w:b/>
                <w:sz w:val="22"/>
                <w:szCs w:val="22"/>
              </w:rPr>
              <w:t>Concerns related to adverse effects:</w:t>
            </w:r>
            <w:r>
              <w:rPr>
                <w:rFonts w:asciiTheme="minorHAnsi" w:hAnsiTheme="minorHAnsi" w:cstheme="minorHAnsi"/>
                <w:sz w:val="22"/>
                <w:szCs w:val="22"/>
              </w:rPr>
              <w:t xml:space="preserve"> floppy iris syndrome, orthostatic hypotension/syncope</w:t>
            </w:r>
          </w:p>
          <w:p w:rsidR="006F1E56" w:rsidRPr="0018231D" w:rsidRDefault="00C56A50" w:rsidP="00C56A50">
            <w:pPr>
              <w:rPr>
                <w:rFonts w:asciiTheme="minorHAnsi" w:hAnsiTheme="minorHAnsi" w:cstheme="minorHAnsi"/>
                <w:sz w:val="22"/>
                <w:szCs w:val="22"/>
              </w:rPr>
            </w:pPr>
            <w:r>
              <w:rPr>
                <w:rFonts w:asciiTheme="minorHAnsi" w:hAnsiTheme="minorHAnsi" w:cstheme="minorHAnsi"/>
                <w:b/>
                <w:sz w:val="22"/>
                <w:szCs w:val="22"/>
              </w:rPr>
              <w:t xml:space="preserve">Disease related concerns: </w:t>
            </w:r>
            <w:r>
              <w:rPr>
                <w:rFonts w:asciiTheme="minorHAnsi" w:hAnsiTheme="minorHAnsi" w:cstheme="minorHAnsi"/>
                <w:sz w:val="22"/>
                <w:szCs w:val="22"/>
              </w:rPr>
              <w:t>use caution in patients with mild-moderate hepatic impairment, moderate renal impairment</w:t>
            </w:r>
          </w:p>
        </w:tc>
      </w:tr>
      <w:tr w:rsidR="00C56A50" w:rsidRPr="00031F67" w:rsidTr="00C56A50">
        <w:tc>
          <w:tcPr>
            <w:tcW w:w="1276" w:type="pct"/>
            <w:shd w:val="clear" w:color="auto" w:fill="auto"/>
            <w:vAlign w:val="center"/>
          </w:tcPr>
          <w:p w:rsidR="00C56A50" w:rsidRPr="00414DD6" w:rsidRDefault="00C56A50" w:rsidP="00C56A50">
            <w:pPr>
              <w:rPr>
                <w:rFonts w:ascii="Calibri" w:hAnsi="Calibri" w:cs="Calibri"/>
                <w:color w:val="000000"/>
                <w:sz w:val="22"/>
                <w:szCs w:val="22"/>
              </w:rPr>
            </w:pPr>
            <w:r>
              <w:rPr>
                <w:rFonts w:ascii="Calibri" w:hAnsi="Calibri" w:cs="Calibri"/>
                <w:color w:val="000000"/>
                <w:sz w:val="22"/>
                <w:szCs w:val="22"/>
              </w:rPr>
              <w:t xml:space="preserve">Cardura XL® (doxazosin mesylate) </w:t>
            </w:r>
          </w:p>
        </w:tc>
        <w:tc>
          <w:tcPr>
            <w:tcW w:w="3724" w:type="pct"/>
            <w:vMerge w:val="restart"/>
            <w:shd w:val="clear" w:color="auto" w:fill="auto"/>
          </w:tcPr>
          <w:p w:rsidR="00C56A50" w:rsidRDefault="00C56A50" w:rsidP="00242423">
            <w:pPr>
              <w:rPr>
                <w:rFonts w:asciiTheme="minorHAnsi" w:hAnsiTheme="minorHAnsi" w:cstheme="minorHAnsi"/>
                <w:sz w:val="22"/>
                <w:szCs w:val="22"/>
              </w:rPr>
            </w:pPr>
            <w:r>
              <w:rPr>
                <w:rFonts w:asciiTheme="minorHAnsi" w:hAnsiTheme="minorHAnsi" w:cstheme="minorHAnsi"/>
                <w:b/>
                <w:sz w:val="22"/>
                <w:szCs w:val="22"/>
              </w:rPr>
              <w:t xml:space="preserve">Concerns related to adverse effects: </w:t>
            </w:r>
            <w:r>
              <w:rPr>
                <w:rFonts w:asciiTheme="minorHAnsi" w:hAnsiTheme="minorHAnsi" w:cstheme="minorHAnsi"/>
                <w:sz w:val="22"/>
                <w:szCs w:val="22"/>
              </w:rPr>
              <w:t>allergic reactions, CNS depression, floppy iris syndrome, decreases in white blood cells and neutrophil count, orthostatic hypotension/syncope, priapism</w:t>
            </w:r>
          </w:p>
          <w:p w:rsidR="00C56A50" w:rsidRPr="00C56A50" w:rsidRDefault="00C56A50" w:rsidP="00242423">
            <w:pPr>
              <w:rPr>
                <w:rFonts w:asciiTheme="minorHAnsi" w:hAnsiTheme="minorHAnsi" w:cstheme="minorHAnsi"/>
                <w:sz w:val="22"/>
                <w:szCs w:val="22"/>
              </w:rPr>
            </w:pPr>
            <w:r>
              <w:rPr>
                <w:rFonts w:asciiTheme="minorHAnsi" w:hAnsiTheme="minorHAnsi" w:cstheme="minorHAnsi"/>
                <w:b/>
                <w:sz w:val="22"/>
                <w:szCs w:val="22"/>
              </w:rPr>
              <w:t xml:space="preserve">Disease related concerns: </w:t>
            </w:r>
            <w:r>
              <w:rPr>
                <w:rFonts w:asciiTheme="minorHAnsi" w:hAnsiTheme="minorHAnsi" w:cstheme="minorHAnsi"/>
                <w:sz w:val="22"/>
                <w:szCs w:val="22"/>
              </w:rPr>
              <w:t>use caution in patients with heart failure, angina, recent myocardial infarction, mild to moderate hepatic impairment; rule out prostatic carcinoma</w:t>
            </w:r>
          </w:p>
        </w:tc>
      </w:tr>
      <w:tr w:rsidR="00C56A50" w:rsidRPr="00031F67" w:rsidTr="00C56A50">
        <w:tc>
          <w:tcPr>
            <w:tcW w:w="1276" w:type="pct"/>
            <w:shd w:val="clear" w:color="auto" w:fill="auto"/>
            <w:vAlign w:val="center"/>
          </w:tcPr>
          <w:p w:rsidR="00C56A50" w:rsidRPr="00382D45" w:rsidRDefault="00C56A50" w:rsidP="00C56A50">
            <w:pPr>
              <w:rPr>
                <w:rFonts w:ascii="Calibri" w:hAnsi="Calibri" w:cs="Calibri"/>
                <w:color w:val="000000"/>
                <w:sz w:val="22"/>
                <w:szCs w:val="22"/>
              </w:rPr>
            </w:pPr>
            <w:r>
              <w:rPr>
                <w:rFonts w:ascii="Calibri" w:hAnsi="Calibri" w:cs="Calibri"/>
                <w:color w:val="000000"/>
                <w:sz w:val="22"/>
                <w:szCs w:val="22"/>
              </w:rPr>
              <w:t>doxazosin mesylate (Cardura®)</w:t>
            </w:r>
          </w:p>
        </w:tc>
        <w:tc>
          <w:tcPr>
            <w:tcW w:w="3724" w:type="pct"/>
            <w:vMerge/>
            <w:shd w:val="clear" w:color="auto" w:fill="auto"/>
          </w:tcPr>
          <w:p w:rsidR="00C56A50" w:rsidRPr="00CB6214" w:rsidRDefault="00C56A50" w:rsidP="00CB6214">
            <w:pPr>
              <w:rPr>
                <w:rFonts w:asciiTheme="minorHAnsi" w:hAnsiTheme="minorHAnsi" w:cstheme="minorHAnsi"/>
                <w:sz w:val="22"/>
                <w:szCs w:val="22"/>
              </w:rPr>
            </w:pPr>
          </w:p>
        </w:tc>
      </w:tr>
      <w:tr w:rsidR="006F1E56" w:rsidRPr="00031F67" w:rsidTr="00C56A50">
        <w:tc>
          <w:tcPr>
            <w:tcW w:w="1276" w:type="pct"/>
            <w:shd w:val="clear" w:color="auto" w:fill="auto"/>
            <w:vAlign w:val="center"/>
          </w:tcPr>
          <w:p w:rsidR="006F1E56" w:rsidRPr="00567B9D" w:rsidRDefault="006F1E56" w:rsidP="00C56A50">
            <w:pPr>
              <w:rPr>
                <w:rFonts w:ascii="Calibri" w:hAnsi="Calibri" w:cs="Calibri"/>
                <w:color w:val="000000"/>
                <w:sz w:val="22"/>
                <w:szCs w:val="22"/>
              </w:rPr>
            </w:pPr>
            <w:r>
              <w:rPr>
                <w:rFonts w:ascii="Calibri" w:hAnsi="Calibri" w:cs="Calibri"/>
                <w:color w:val="000000"/>
                <w:sz w:val="22"/>
                <w:szCs w:val="22"/>
              </w:rPr>
              <w:t>terazosin</w:t>
            </w:r>
          </w:p>
        </w:tc>
        <w:tc>
          <w:tcPr>
            <w:tcW w:w="3724" w:type="pct"/>
            <w:shd w:val="clear" w:color="auto" w:fill="auto"/>
          </w:tcPr>
          <w:p w:rsidR="006F1E56" w:rsidRDefault="004D786D" w:rsidP="00CB6214">
            <w:pPr>
              <w:rPr>
                <w:rFonts w:asciiTheme="minorHAnsi" w:hAnsiTheme="minorHAnsi" w:cstheme="minorHAnsi"/>
                <w:sz w:val="22"/>
                <w:szCs w:val="22"/>
              </w:rPr>
            </w:pPr>
            <w:r>
              <w:rPr>
                <w:rFonts w:asciiTheme="minorHAnsi" w:hAnsiTheme="minorHAnsi" w:cstheme="minorHAnsi"/>
                <w:b/>
                <w:sz w:val="22"/>
                <w:szCs w:val="22"/>
              </w:rPr>
              <w:t xml:space="preserve">Concerns related to adverse effects: </w:t>
            </w:r>
            <w:r>
              <w:rPr>
                <w:rFonts w:asciiTheme="minorHAnsi" w:hAnsiTheme="minorHAnsi" w:cstheme="minorHAnsi"/>
                <w:sz w:val="22"/>
                <w:szCs w:val="22"/>
              </w:rPr>
              <w:t>CNS depression, floppy iris syndrome, orthostatic hypotension/syncope, priapism</w:t>
            </w:r>
          </w:p>
          <w:p w:rsidR="004D786D" w:rsidRPr="004D786D" w:rsidRDefault="004D786D" w:rsidP="004D786D">
            <w:pPr>
              <w:rPr>
                <w:rFonts w:asciiTheme="minorHAnsi" w:hAnsiTheme="minorHAnsi" w:cstheme="minorHAnsi"/>
                <w:sz w:val="22"/>
                <w:szCs w:val="22"/>
              </w:rPr>
            </w:pPr>
            <w:r>
              <w:rPr>
                <w:rFonts w:asciiTheme="minorHAnsi" w:hAnsiTheme="minorHAnsi" w:cstheme="minorHAnsi"/>
                <w:b/>
                <w:sz w:val="22"/>
                <w:szCs w:val="22"/>
              </w:rPr>
              <w:t xml:space="preserve">Disease related concerns: </w:t>
            </w:r>
            <w:r>
              <w:rPr>
                <w:rFonts w:asciiTheme="minorHAnsi" w:hAnsiTheme="minorHAnsi" w:cstheme="minorHAnsi"/>
                <w:sz w:val="22"/>
                <w:szCs w:val="22"/>
              </w:rPr>
              <w:t>may exacerbate underlying myocardial dysfunction</w:t>
            </w:r>
          </w:p>
        </w:tc>
      </w:tr>
      <w:tr w:rsidR="006F1E56" w:rsidRPr="00031F67" w:rsidTr="00C56A50">
        <w:tc>
          <w:tcPr>
            <w:tcW w:w="1276" w:type="pct"/>
            <w:shd w:val="clear" w:color="auto" w:fill="auto"/>
            <w:vAlign w:val="center"/>
          </w:tcPr>
          <w:p w:rsidR="006F1E56" w:rsidRPr="00212290" w:rsidRDefault="006F1E56" w:rsidP="00C56A50">
            <w:pPr>
              <w:rPr>
                <w:rFonts w:ascii="Calibri" w:hAnsi="Calibri" w:cs="Calibri"/>
                <w:color w:val="000000"/>
                <w:sz w:val="22"/>
                <w:szCs w:val="22"/>
              </w:rPr>
            </w:pPr>
            <w:r>
              <w:rPr>
                <w:rFonts w:ascii="Calibri" w:hAnsi="Calibri" w:cs="Calibri"/>
                <w:color w:val="000000"/>
                <w:sz w:val="22"/>
                <w:szCs w:val="22"/>
              </w:rPr>
              <w:t xml:space="preserve">tamsulosin (Flomax®) </w:t>
            </w:r>
          </w:p>
        </w:tc>
        <w:tc>
          <w:tcPr>
            <w:tcW w:w="3724" w:type="pct"/>
            <w:shd w:val="clear" w:color="auto" w:fill="auto"/>
          </w:tcPr>
          <w:p w:rsidR="006F1E56" w:rsidRDefault="006252CC" w:rsidP="00CB6214">
            <w:pPr>
              <w:rPr>
                <w:rFonts w:asciiTheme="minorHAnsi" w:hAnsiTheme="minorHAnsi" w:cstheme="minorHAnsi"/>
                <w:sz w:val="22"/>
                <w:szCs w:val="22"/>
              </w:rPr>
            </w:pPr>
            <w:r>
              <w:rPr>
                <w:rFonts w:asciiTheme="minorHAnsi" w:hAnsiTheme="minorHAnsi" w:cstheme="minorHAnsi"/>
                <w:b/>
                <w:sz w:val="22"/>
                <w:szCs w:val="22"/>
              </w:rPr>
              <w:t>Concerns related to adverse effects:</w:t>
            </w:r>
            <w:r>
              <w:rPr>
                <w:rFonts w:asciiTheme="minorHAnsi" w:hAnsiTheme="minorHAnsi" w:cstheme="minorHAnsi"/>
                <w:sz w:val="22"/>
                <w:szCs w:val="22"/>
              </w:rPr>
              <w:t xml:space="preserve"> floppy iris syndrome, orthostatic hypotension/syncope, priapism, patients with a sulfa allergy may rarely develop allergy to tamsulosin, angina</w:t>
            </w:r>
          </w:p>
          <w:p w:rsidR="006252CC" w:rsidRPr="006252CC" w:rsidRDefault="006252CC" w:rsidP="006252CC">
            <w:pPr>
              <w:rPr>
                <w:rFonts w:asciiTheme="minorHAnsi" w:hAnsiTheme="minorHAnsi" w:cstheme="minorHAnsi"/>
                <w:sz w:val="22"/>
                <w:szCs w:val="22"/>
              </w:rPr>
            </w:pPr>
            <w:r>
              <w:rPr>
                <w:rFonts w:asciiTheme="minorHAnsi" w:hAnsiTheme="minorHAnsi" w:cstheme="minorHAnsi"/>
                <w:b/>
                <w:sz w:val="22"/>
                <w:szCs w:val="22"/>
              </w:rPr>
              <w:t>Disease related concerns:</w:t>
            </w:r>
            <w:r>
              <w:rPr>
                <w:rFonts w:asciiTheme="minorHAnsi" w:hAnsiTheme="minorHAnsi" w:cstheme="minorHAnsi"/>
                <w:sz w:val="22"/>
                <w:szCs w:val="22"/>
              </w:rPr>
              <w:t xml:space="preserve"> it is recommended to rule out prostatic carcinoma before beginning therapy, may exacerbate underlying myocardial dysfunction</w:t>
            </w:r>
          </w:p>
        </w:tc>
      </w:tr>
      <w:tr w:rsidR="006F1E56" w:rsidRPr="00031F67" w:rsidTr="00C56A50">
        <w:tc>
          <w:tcPr>
            <w:tcW w:w="1276" w:type="pct"/>
            <w:shd w:val="clear" w:color="auto" w:fill="auto"/>
            <w:vAlign w:val="center"/>
          </w:tcPr>
          <w:p w:rsidR="006F1E56" w:rsidRDefault="006F1E56" w:rsidP="00C56A50">
            <w:pPr>
              <w:rPr>
                <w:rFonts w:ascii="Calibri" w:hAnsi="Calibri" w:cs="Calibri"/>
                <w:color w:val="000000"/>
                <w:sz w:val="22"/>
                <w:szCs w:val="22"/>
              </w:rPr>
            </w:pPr>
            <w:r>
              <w:rPr>
                <w:rFonts w:ascii="Calibri" w:hAnsi="Calibri" w:cs="Calibri"/>
                <w:color w:val="000000"/>
                <w:sz w:val="22"/>
                <w:szCs w:val="22"/>
              </w:rPr>
              <w:t>dutasteride/tamsulosin (Jalyn®)</w:t>
            </w:r>
          </w:p>
        </w:tc>
        <w:tc>
          <w:tcPr>
            <w:tcW w:w="3724" w:type="pct"/>
            <w:shd w:val="clear" w:color="auto" w:fill="auto"/>
          </w:tcPr>
          <w:p w:rsidR="006F1E56" w:rsidRDefault="007B25D2" w:rsidP="00CB6214">
            <w:pPr>
              <w:rPr>
                <w:rFonts w:asciiTheme="minorHAnsi" w:hAnsiTheme="minorHAnsi" w:cstheme="minorHAnsi"/>
                <w:sz w:val="22"/>
                <w:szCs w:val="22"/>
              </w:rPr>
            </w:pPr>
            <w:r>
              <w:rPr>
                <w:rFonts w:asciiTheme="minorHAnsi" w:hAnsiTheme="minorHAnsi" w:cstheme="minorHAnsi"/>
                <w:b/>
                <w:sz w:val="22"/>
                <w:szCs w:val="22"/>
              </w:rPr>
              <w:t>Concerns related to adverse effects:</w:t>
            </w:r>
            <w:r>
              <w:rPr>
                <w:rFonts w:asciiTheme="minorHAnsi" w:hAnsiTheme="minorHAnsi" w:cstheme="minorHAnsi"/>
                <w:sz w:val="22"/>
                <w:szCs w:val="22"/>
              </w:rPr>
              <w:t xml:space="preserve"> floppy iris syndrome, orthostatic hypotension/syncope, priapism, patients with a sulfa allergy may rarely develop allergy to tamsulosin</w:t>
            </w:r>
          </w:p>
          <w:p w:rsidR="007B25D2" w:rsidRPr="007B25D2" w:rsidRDefault="007B25D2" w:rsidP="00CB6214">
            <w:pPr>
              <w:rPr>
                <w:rFonts w:asciiTheme="minorHAnsi" w:hAnsiTheme="minorHAnsi" w:cstheme="minorHAnsi"/>
                <w:sz w:val="22"/>
                <w:szCs w:val="22"/>
              </w:rPr>
            </w:pPr>
            <w:r w:rsidRPr="007B25D2">
              <w:rPr>
                <w:rFonts w:asciiTheme="minorHAnsi" w:hAnsiTheme="minorHAnsi" w:cstheme="minorHAnsi"/>
                <w:b/>
                <w:sz w:val="22"/>
                <w:szCs w:val="22"/>
              </w:rPr>
              <w:t>Disease related concerns:</w:t>
            </w:r>
            <w:r>
              <w:rPr>
                <w:rFonts w:asciiTheme="minorHAnsi" w:hAnsiTheme="minorHAnsi" w:cstheme="minorHAnsi"/>
                <w:b/>
                <w:sz w:val="22"/>
                <w:szCs w:val="22"/>
              </w:rPr>
              <w:t xml:space="preserve"> </w:t>
            </w:r>
            <w:r>
              <w:rPr>
                <w:rFonts w:asciiTheme="minorHAnsi" w:hAnsiTheme="minorHAnsi" w:cstheme="minorHAnsi"/>
                <w:sz w:val="22"/>
                <w:szCs w:val="22"/>
              </w:rPr>
              <w:t xml:space="preserve">diminished urinary flow, use caution in patients with hepatic impairment, </w:t>
            </w:r>
            <w:r w:rsidRPr="007B25D2">
              <w:rPr>
                <w:rFonts w:asciiTheme="minorHAnsi" w:hAnsiTheme="minorHAnsi" w:cstheme="minorHAnsi"/>
                <w:sz w:val="22"/>
                <w:szCs w:val="22"/>
              </w:rPr>
              <w:t>increase in the incidence of high-grade prostate cancers has been observed</w:t>
            </w:r>
            <w:r>
              <w:rPr>
                <w:rFonts w:asciiTheme="minorHAnsi" w:hAnsiTheme="minorHAnsi" w:cstheme="minorHAnsi"/>
                <w:sz w:val="22"/>
                <w:szCs w:val="22"/>
              </w:rPr>
              <w:t>, use caution in patients with ESRD</w:t>
            </w:r>
          </w:p>
        </w:tc>
      </w:tr>
      <w:tr w:rsidR="006848BC" w:rsidRPr="00031F67" w:rsidTr="00EF715A">
        <w:tc>
          <w:tcPr>
            <w:tcW w:w="5000" w:type="pct"/>
            <w:gridSpan w:val="2"/>
            <w:shd w:val="clear" w:color="auto" w:fill="EEECE1" w:themeFill="background2"/>
          </w:tcPr>
          <w:p w:rsidR="006848BC" w:rsidRPr="00CB6214" w:rsidRDefault="006848BC" w:rsidP="006848BC">
            <w:pPr>
              <w:jc w:val="center"/>
              <w:rPr>
                <w:rFonts w:asciiTheme="minorHAnsi" w:hAnsiTheme="minorHAnsi" w:cstheme="minorHAnsi"/>
                <w:sz w:val="22"/>
                <w:szCs w:val="22"/>
              </w:rPr>
            </w:pPr>
            <w:r w:rsidRPr="00C67AA9">
              <w:rPr>
                <w:rFonts w:asciiTheme="minorHAnsi" w:hAnsiTheme="minorHAnsi" w:cstheme="minorHAnsi"/>
                <w:b/>
                <w:sz w:val="22"/>
                <w:szCs w:val="22"/>
              </w:rPr>
              <w:t>5-Alpha Reductase Inhibitors</w:t>
            </w:r>
          </w:p>
        </w:tc>
      </w:tr>
      <w:tr w:rsidR="006F1E56" w:rsidRPr="00031F67" w:rsidTr="00C56A50">
        <w:tc>
          <w:tcPr>
            <w:tcW w:w="1276" w:type="pct"/>
            <w:shd w:val="clear" w:color="auto" w:fill="auto"/>
            <w:vAlign w:val="center"/>
          </w:tcPr>
          <w:p w:rsidR="006F1E56" w:rsidRPr="00567B9D" w:rsidRDefault="006F1E56" w:rsidP="00C56A50">
            <w:pPr>
              <w:rPr>
                <w:rFonts w:ascii="Calibri" w:hAnsi="Calibri" w:cs="Calibri"/>
                <w:color w:val="000000"/>
                <w:sz w:val="22"/>
                <w:szCs w:val="22"/>
              </w:rPr>
            </w:pPr>
            <w:r>
              <w:rPr>
                <w:rFonts w:ascii="Calibri" w:hAnsi="Calibri" w:cs="Calibri"/>
                <w:color w:val="000000"/>
                <w:sz w:val="22"/>
                <w:szCs w:val="22"/>
              </w:rPr>
              <w:t xml:space="preserve">finasteride (Proscar®) </w:t>
            </w:r>
          </w:p>
        </w:tc>
        <w:tc>
          <w:tcPr>
            <w:tcW w:w="3724" w:type="pct"/>
            <w:shd w:val="clear" w:color="auto" w:fill="auto"/>
          </w:tcPr>
          <w:p w:rsidR="006F1E56" w:rsidRPr="00CB6214" w:rsidRDefault="007B25D2" w:rsidP="00CB6214">
            <w:pPr>
              <w:rPr>
                <w:rFonts w:asciiTheme="minorHAnsi" w:hAnsiTheme="minorHAnsi" w:cstheme="minorHAnsi"/>
                <w:sz w:val="22"/>
                <w:szCs w:val="22"/>
              </w:rPr>
            </w:pPr>
            <w:r w:rsidRPr="007B25D2">
              <w:rPr>
                <w:rFonts w:asciiTheme="minorHAnsi" w:hAnsiTheme="minorHAnsi" w:cstheme="minorHAnsi"/>
                <w:b/>
                <w:sz w:val="22"/>
                <w:szCs w:val="22"/>
              </w:rPr>
              <w:t>Disease related concerns:</w:t>
            </w:r>
            <w:r>
              <w:rPr>
                <w:rFonts w:asciiTheme="minorHAnsi" w:hAnsiTheme="minorHAnsi" w:cstheme="minorHAnsi"/>
                <w:b/>
                <w:sz w:val="22"/>
                <w:szCs w:val="22"/>
              </w:rPr>
              <w:t xml:space="preserve"> </w:t>
            </w:r>
            <w:r>
              <w:rPr>
                <w:rFonts w:asciiTheme="minorHAnsi" w:hAnsiTheme="minorHAnsi" w:cstheme="minorHAnsi"/>
                <w:sz w:val="22"/>
                <w:szCs w:val="22"/>
              </w:rPr>
              <w:t xml:space="preserve">diminished urinary flow, use caution in patients with hepatic </w:t>
            </w:r>
            <w:r>
              <w:rPr>
                <w:rFonts w:asciiTheme="minorHAnsi" w:hAnsiTheme="minorHAnsi" w:cstheme="minorHAnsi"/>
                <w:sz w:val="22"/>
                <w:szCs w:val="22"/>
              </w:rPr>
              <w:lastRenderedPageBreak/>
              <w:t xml:space="preserve">impairment, </w:t>
            </w:r>
            <w:r w:rsidRPr="007B25D2">
              <w:rPr>
                <w:rFonts w:asciiTheme="minorHAnsi" w:hAnsiTheme="minorHAnsi" w:cstheme="minorHAnsi"/>
                <w:sz w:val="22"/>
                <w:szCs w:val="22"/>
              </w:rPr>
              <w:t>increase in the incidence of high-grade prostate cancers has been observed</w:t>
            </w:r>
          </w:p>
        </w:tc>
      </w:tr>
      <w:tr w:rsidR="006F1E56" w:rsidRPr="00031F67" w:rsidTr="00C56A50">
        <w:tc>
          <w:tcPr>
            <w:tcW w:w="1276" w:type="pct"/>
            <w:shd w:val="clear" w:color="auto" w:fill="auto"/>
            <w:vAlign w:val="center"/>
          </w:tcPr>
          <w:p w:rsidR="006F1E56" w:rsidRPr="00297ABB" w:rsidRDefault="006F1E56" w:rsidP="00C56A50">
            <w:pPr>
              <w:rPr>
                <w:rFonts w:ascii="Calibri" w:hAnsi="Calibri" w:cs="Calibri"/>
                <w:color w:val="000000"/>
                <w:sz w:val="22"/>
                <w:szCs w:val="22"/>
              </w:rPr>
            </w:pPr>
            <w:r>
              <w:rPr>
                <w:rFonts w:ascii="Calibri" w:hAnsi="Calibri" w:cs="Calibri"/>
                <w:color w:val="000000"/>
                <w:sz w:val="22"/>
                <w:szCs w:val="22"/>
              </w:rPr>
              <w:lastRenderedPageBreak/>
              <w:t xml:space="preserve">dutasteride (Avodart®) </w:t>
            </w:r>
          </w:p>
        </w:tc>
        <w:tc>
          <w:tcPr>
            <w:tcW w:w="3724" w:type="pct"/>
            <w:shd w:val="clear" w:color="auto" w:fill="auto"/>
          </w:tcPr>
          <w:p w:rsidR="006F1E56" w:rsidRDefault="007B25D2" w:rsidP="007B25D2">
            <w:pPr>
              <w:rPr>
                <w:rFonts w:asciiTheme="minorHAnsi" w:hAnsiTheme="minorHAnsi" w:cstheme="minorHAnsi"/>
                <w:sz w:val="22"/>
                <w:szCs w:val="22"/>
              </w:rPr>
            </w:pPr>
            <w:r w:rsidRPr="007B25D2">
              <w:rPr>
                <w:rFonts w:asciiTheme="minorHAnsi" w:hAnsiTheme="minorHAnsi" w:cstheme="minorHAnsi"/>
                <w:b/>
                <w:sz w:val="22"/>
                <w:szCs w:val="22"/>
              </w:rPr>
              <w:t>Disease related concerns:</w:t>
            </w:r>
            <w:r>
              <w:rPr>
                <w:rFonts w:asciiTheme="minorHAnsi" w:hAnsiTheme="minorHAnsi" w:cstheme="minorHAnsi"/>
                <w:b/>
                <w:sz w:val="22"/>
                <w:szCs w:val="22"/>
              </w:rPr>
              <w:t xml:space="preserve"> </w:t>
            </w:r>
            <w:r>
              <w:rPr>
                <w:rFonts w:asciiTheme="minorHAnsi" w:hAnsiTheme="minorHAnsi" w:cstheme="minorHAnsi"/>
                <w:sz w:val="22"/>
                <w:szCs w:val="22"/>
              </w:rPr>
              <w:t xml:space="preserve">diminished urinary flow, use caution in patients with hepatic impairment, </w:t>
            </w:r>
            <w:r w:rsidRPr="007B25D2">
              <w:rPr>
                <w:rFonts w:asciiTheme="minorHAnsi" w:hAnsiTheme="minorHAnsi" w:cstheme="minorHAnsi"/>
                <w:sz w:val="22"/>
                <w:szCs w:val="22"/>
              </w:rPr>
              <w:t>increase in the incidence of high-grade prostate cancers has been observed</w:t>
            </w:r>
          </w:p>
          <w:p w:rsidR="007B25D2" w:rsidRPr="007B25D2" w:rsidRDefault="007B25D2" w:rsidP="007B25D2">
            <w:pPr>
              <w:rPr>
                <w:rFonts w:asciiTheme="minorHAnsi" w:hAnsiTheme="minorHAnsi" w:cstheme="minorHAnsi"/>
                <w:sz w:val="22"/>
                <w:szCs w:val="22"/>
              </w:rPr>
            </w:pPr>
            <w:r>
              <w:rPr>
                <w:rFonts w:asciiTheme="minorHAnsi" w:hAnsiTheme="minorHAnsi" w:cstheme="minorHAnsi"/>
                <w:b/>
                <w:sz w:val="22"/>
                <w:szCs w:val="22"/>
              </w:rPr>
              <w:t xml:space="preserve">Concurrent drug therapy concerns: </w:t>
            </w:r>
            <w:r>
              <w:rPr>
                <w:rFonts w:asciiTheme="minorHAnsi" w:hAnsiTheme="minorHAnsi" w:cstheme="minorHAnsi"/>
                <w:sz w:val="22"/>
                <w:szCs w:val="22"/>
              </w:rPr>
              <w:t>use caution with concurrent use of CYP3A4 inhibitors</w:t>
            </w:r>
          </w:p>
        </w:tc>
      </w:tr>
      <w:tr w:rsidR="006848BC" w:rsidRPr="00031F67" w:rsidTr="00EF715A">
        <w:tc>
          <w:tcPr>
            <w:tcW w:w="5000" w:type="pct"/>
            <w:gridSpan w:val="2"/>
            <w:shd w:val="clear" w:color="auto" w:fill="EEECE1" w:themeFill="background2"/>
          </w:tcPr>
          <w:p w:rsidR="006848BC" w:rsidRPr="00CB6214" w:rsidRDefault="006848BC" w:rsidP="006848BC">
            <w:pPr>
              <w:jc w:val="center"/>
              <w:rPr>
                <w:rFonts w:asciiTheme="minorHAnsi" w:hAnsiTheme="minorHAnsi" w:cstheme="minorHAnsi"/>
                <w:sz w:val="22"/>
                <w:szCs w:val="22"/>
              </w:rPr>
            </w:pPr>
            <w:r w:rsidRPr="00C67AA9">
              <w:rPr>
                <w:rFonts w:ascii="Calibri" w:hAnsi="Calibri" w:cs="Calibri"/>
                <w:b/>
                <w:color w:val="000000"/>
                <w:sz w:val="22"/>
                <w:szCs w:val="22"/>
              </w:rPr>
              <w:t>Phosphodiesterase Type 5 Inhibitors</w:t>
            </w:r>
          </w:p>
        </w:tc>
      </w:tr>
      <w:tr w:rsidR="006F1E56" w:rsidRPr="00031F67" w:rsidTr="00C56A50">
        <w:tc>
          <w:tcPr>
            <w:tcW w:w="1276" w:type="pct"/>
            <w:shd w:val="clear" w:color="auto" w:fill="auto"/>
            <w:vAlign w:val="center"/>
          </w:tcPr>
          <w:p w:rsidR="006F1E56" w:rsidRDefault="006F1E56" w:rsidP="00C56A50">
            <w:pPr>
              <w:rPr>
                <w:rFonts w:ascii="Calibri" w:hAnsi="Calibri" w:cs="Calibri"/>
                <w:color w:val="000000"/>
                <w:sz w:val="22"/>
                <w:szCs w:val="22"/>
              </w:rPr>
            </w:pPr>
            <w:r>
              <w:rPr>
                <w:rFonts w:ascii="Calibri" w:hAnsi="Calibri" w:cs="Calibri"/>
                <w:color w:val="000000"/>
                <w:sz w:val="22"/>
                <w:szCs w:val="22"/>
              </w:rPr>
              <w:t xml:space="preserve">Cialis® (tadalafil) </w:t>
            </w:r>
          </w:p>
        </w:tc>
        <w:tc>
          <w:tcPr>
            <w:tcW w:w="3724" w:type="pct"/>
            <w:shd w:val="clear" w:color="auto" w:fill="auto"/>
          </w:tcPr>
          <w:p w:rsidR="006F1E56" w:rsidRDefault="006252CC" w:rsidP="006252CC">
            <w:pPr>
              <w:rPr>
                <w:rFonts w:asciiTheme="minorHAnsi" w:hAnsiTheme="minorHAnsi" w:cstheme="minorHAnsi"/>
                <w:sz w:val="22"/>
                <w:szCs w:val="22"/>
              </w:rPr>
            </w:pPr>
            <w:r>
              <w:rPr>
                <w:rFonts w:asciiTheme="minorHAnsi" w:hAnsiTheme="minorHAnsi" w:cstheme="minorHAnsi"/>
                <w:b/>
                <w:sz w:val="22"/>
                <w:szCs w:val="22"/>
              </w:rPr>
              <w:t xml:space="preserve">Concerns related to adverse effects: </w:t>
            </w:r>
            <w:r>
              <w:rPr>
                <w:rFonts w:asciiTheme="minorHAnsi" w:hAnsiTheme="minorHAnsi" w:cstheme="minorHAnsi"/>
                <w:sz w:val="22"/>
                <w:szCs w:val="22"/>
              </w:rPr>
              <w:t>angina chest pain, use caution in patients with retinitis pigmentosa, sudden decrease or loss of hearing, hypotension/syncope, priapism, rare vision loss as a sign of nonarteritic anterior ischemic optic neuropathy</w:t>
            </w:r>
          </w:p>
          <w:p w:rsidR="006252CC" w:rsidRPr="006252CC" w:rsidRDefault="006252CC" w:rsidP="006252CC">
            <w:pPr>
              <w:rPr>
                <w:rFonts w:asciiTheme="minorHAnsi" w:hAnsiTheme="minorHAnsi" w:cstheme="minorHAnsi"/>
                <w:sz w:val="22"/>
                <w:szCs w:val="22"/>
              </w:rPr>
            </w:pPr>
            <w:r>
              <w:rPr>
                <w:rFonts w:asciiTheme="minorHAnsi" w:hAnsiTheme="minorHAnsi" w:cstheme="minorHAnsi"/>
                <w:b/>
                <w:sz w:val="22"/>
                <w:szCs w:val="22"/>
              </w:rPr>
              <w:t xml:space="preserve">Disease related concerns: </w:t>
            </w:r>
            <w:r>
              <w:rPr>
                <w:rFonts w:asciiTheme="minorHAnsi" w:hAnsiTheme="minorHAnsi" w:cstheme="minorHAnsi"/>
                <w:sz w:val="22"/>
                <w:szCs w:val="22"/>
              </w:rPr>
              <w:t>use caution in patients with anatomical penis deformation, bleeding disorders, cardiovascular disease, hepatic impairment, peptic ulcer disease, pulmonary veno-occlusive disease, renal impairment; use is not recommended in patients with hypotension</w:t>
            </w:r>
          </w:p>
        </w:tc>
      </w:tr>
    </w:tbl>
    <w:p w:rsidR="00031F67" w:rsidRPr="00031F67" w:rsidRDefault="00031F67" w:rsidP="00031F67">
      <w:pPr>
        <w:rPr>
          <w:rFonts w:asciiTheme="minorHAnsi" w:hAnsiTheme="minorHAnsi" w:cstheme="minorHAnsi"/>
          <w:b/>
          <w:sz w:val="22"/>
          <w:szCs w:val="22"/>
        </w:rPr>
      </w:pPr>
    </w:p>
    <w:p w:rsidR="00031F67" w:rsidRPr="0046510C" w:rsidRDefault="00031F67" w:rsidP="00031F67">
      <w:pPr>
        <w:rPr>
          <w:rFonts w:asciiTheme="majorHAnsi" w:hAnsiTheme="majorHAnsi" w:cstheme="minorHAnsi"/>
          <w:b/>
          <w:sz w:val="22"/>
          <w:szCs w:val="22"/>
        </w:rPr>
      </w:pPr>
      <w:r w:rsidRPr="0046510C">
        <w:rPr>
          <w:rFonts w:asciiTheme="majorHAnsi" w:hAnsiTheme="majorHAnsi" w:cstheme="minorHAnsi"/>
          <w:b/>
          <w:sz w:val="22"/>
          <w:szCs w:val="22"/>
        </w:rPr>
        <w:t>PRACTICE GUIDELINES</w:t>
      </w:r>
    </w:p>
    <w:p w:rsidR="00031F67" w:rsidRDefault="00533C60" w:rsidP="00533C60">
      <w:pPr>
        <w:jc w:val="both"/>
        <w:rPr>
          <w:rFonts w:ascii="Calibri" w:hAnsi="Calibri" w:cs="Calibri"/>
          <w:b/>
          <w:sz w:val="22"/>
          <w:szCs w:val="22"/>
        </w:rPr>
      </w:pPr>
      <w:r w:rsidRPr="0072602A">
        <w:rPr>
          <w:rFonts w:ascii="Calibri" w:hAnsi="Calibri" w:cs="Calibri"/>
          <w:b/>
          <w:sz w:val="22"/>
          <w:szCs w:val="22"/>
        </w:rPr>
        <w:t>American Urological Association Guideline: Management of Be</w:t>
      </w:r>
      <w:r w:rsidR="00116A02">
        <w:rPr>
          <w:rFonts w:ascii="Calibri" w:hAnsi="Calibri" w:cs="Calibri"/>
          <w:b/>
          <w:sz w:val="22"/>
          <w:szCs w:val="22"/>
        </w:rPr>
        <w:t xml:space="preserve">nign Prostatic Hyperplasia (2010; Reviewed and Validity Confirmed 2014). American Urological Association. 2010. </w:t>
      </w:r>
    </w:p>
    <w:p w:rsidR="00533C60" w:rsidRPr="00533C60" w:rsidRDefault="00533C60" w:rsidP="00533C60">
      <w:pPr>
        <w:jc w:val="both"/>
        <w:rPr>
          <w:rFonts w:ascii="Calibri" w:hAnsi="Calibri" w:cs="Calibri"/>
          <w:sz w:val="22"/>
          <w:szCs w:val="22"/>
        </w:rPr>
      </w:pPr>
      <w:r w:rsidRPr="00533C60">
        <w:rPr>
          <w:rFonts w:ascii="Calibri" w:hAnsi="Calibri" w:cs="Calibri"/>
          <w:sz w:val="22"/>
          <w:szCs w:val="22"/>
        </w:rPr>
        <w:t xml:space="preserve">Patients with mild lower urinary tract symptoms (LUTS) secondary to BPH and patients with moderate or severe symptoms who are not bothered by their LUTS should be managed using a “watchful waiting” strategy. Active surveillance is the preferred management strategy for patients with mild symptoms. Physicians will monitor the patient with no active interventions. </w:t>
      </w:r>
    </w:p>
    <w:p w:rsidR="00533C60" w:rsidRPr="00533C60" w:rsidRDefault="00533C60" w:rsidP="00533C60">
      <w:pPr>
        <w:jc w:val="both"/>
        <w:rPr>
          <w:rFonts w:ascii="Calibri" w:hAnsi="Calibri" w:cs="Calibri"/>
          <w:sz w:val="22"/>
          <w:szCs w:val="22"/>
        </w:rPr>
      </w:pPr>
    </w:p>
    <w:p w:rsidR="00533C60" w:rsidRPr="00533C60" w:rsidRDefault="00533C60" w:rsidP="00533C60">
      <w:pPr>
        <w:jc w:val="both"/>
        <w:rPr>
          <w:rFonts w:ascii="Calibri" w:hAnsi="Calibri" w:cs="Calibri"/>
          <w:sz w:val="22"/>
          <w:szCs w:val="22"/>
        </w:rPr>
      </w:pPr>
      <w:r w:rsidRPr="00533C60">
        <w:rPr>
          <w:rFonts w:ascii="Calibri" w:hAnsi="Calibri" w:cs="Calibri"/>
          <w:sz w:val="22"/>
          <w:szCs w:val="22"/>
        </w:rPr>
        <w:t>Alfuzosin, doxazosin, tamsulosin, and terazosin are appropriate and effective treatment alternatives for patients with bothersome, moderate to severe LUTS secondary to BPH. Although there are slight differences in the adverse events profiles of these agents, all four appear to have equal clinical effectiveness</w:t>
      </w:r>
    </w:p>
    <w:p w:rsidR="00533C60" w:rsidRPr="00533C60" w:rsidRDefault="00533C60" w:rsidP="00533C60">
      <w:pPr>
        <w:jc w:val="both"/>
        <w:rPr>
          <w:rFonts w:ascii="Calibri" w:hAnsi="Calibri" w:cs="Calibri"/>
          <w:sz w:val="22"/>
          <w:szCs w:val="22"/>
        </w:rPr>
      </w:pPr>
    </w:p>
    <w:p w:rsidR="00533C60" w:rsidRPr="00533C60" w:rsidRDefault="00533C60" w:rsidP="00533C60">
      <w:pPr>
        <w:jc w:val="both"/>
        <w:rPr>
          <w:rFonts w:ascii="Calibri" w:hAnsi="Calibri" w:cs="Calibri"/>
          <w:sz w:val="22"/>
          <w:szCs w:val="22"/>
        </w:rPr>
      </w:pPr>
      <w:r w:rsidRPr="00533C60">
        <w:rPr>
          <w:rFonts w:ascii="Calibri" w:hAnsi="Calibri" w:cs="Calibri"/>
          <w:sz w:val="22"/>
          <w:szCs w:val="22"/>
        </w:rPr>
        <w:t xml:space="preserve">The combination of an alpha-blocker and a 5-alpha reductase inhibitor (5-ARI) is an appropriate and effective treatment for patients with LUTS associated with demonstrable prostatic enlargement. </w:t>
      </w:r>
    </w:p>
    <w:p w:rsidR="00533C60" w:rsidRPr="00533C60" w:rsidRDefault="00533C60" w:rsidP="00533C60">
      <w:pPr>
        <w:jc w:val="both"/>
        <w:rPr>
          <w:rFonts w:ascii="Calibri" w:hAnsi="Calibri" w:cs="Calibri"/>
          <w:sz w:val="22"/>
          <w:szCs w:val="22"/>
        </w:rPr>
      </w:pPr>
    </w:p>
    <w:p w:rsidR="00605EB3" w:rsidRPr="00B167F8" w:rsidRDefault="00533C60" w:rsidP="00B167F8">
      <w:pPr>
        <w:jc w:val="both"/>
        <w:rPr>
          <w:rFonts w:asciiTheme="minorHAnsi" w:hAnsiTheme="minorHAnsi" w:cstheme="minorHAnsi"/>
          <w:sz w:val="22"/>
          <w:szCs w:val="22"/>
        </w:rPr>
        <w:sectPr w:rsidR="00605EB3" w:rsidRPr="00B167F8" w:rsidSect="00605EB3">
          <w:headerReference w:type="default" r:id="rId10"/>
          <w:footerReference w:type="even" r:id="rId11"/>
          <w:footerReference w:type="default" r:id="rId12"/>
          <w:pgSz w:w="12240" w:h="15840"/>
          <w:pgMar w:top="720" w:right="720" w:bottom="720" w:left="720" w:header="720" w:footer="720" w:gutter="0"/>
          <w:cols w:space="720"/>
          <w:docGrid w:linePitch="360"/>
        </w:sectPr>
      </w:pPr>
      <w:r w:rsidRPr="00533C60">
        <w:rPr>
          <w:rFonts w:ascii="Calibri" w:hAnsi="Calibri" w:cs="Calibri"/>
          <w:sz w:val="22"/>
          <w:szCs w:val="22"/>
        </w:rPr>
        <w:t>5-ARIs may be used to prevent progression of LUTS secondary to BPH and to reduce the risk of urinary retention and future prostate-related surgery. 5-ARIs should not be used in men with LUTS secondary to BPH without prostatic enlargement.</w:t>
      </w:r>
      <w:r w:rsidR="00B167F8">
        <w:rPr>
          <w:rFonts w:asciiTheme="minorHAnsi" w:hAnsiTheme="minorHAnsi" w:cstheme="minorHAnsi"/>
          <w:b/>
          <w:sz w:val="22"/>
          <w:szCs w:val="22"/>
        </w:rPr>
        <w:t xml:space="preserve"> </w:t>
      </w:r>
    </w:p>
    <w:p w:rsidR="00175926" w:rsidRPr="00031F67" w:rsidRDefault="00175926" w:rsidP="00175926">
      <w:pPr>
        <w:pBdr>
          <w:bottom w:val="single" w:sz="4" w:space="1" w:color="auto"/>
        </w:pBdr>
        <w:rPr>
          <w:rFonts w:asciiTheme="minorHAnsi" w:hAnsiTheme="minorHAnsi" w:cstheme="minorHAnsi"/>
          <w:b/>
          <w:sz w:val="22"/>
          <w:szCs w:val="22"/>
        </w:rPr>
      </w:pPr>
      <w:r w:rsidRPr="00031F67">
        <w:rPr>
          <w:rFonts w:asciiTheme="minorHAnsi" w:hAnsiTheme="minorHAnsi" w:cstheme="minorHAnsi"/>
          <w:b/>
          <w:sz w:val="22"/>
          <w:szCs w:val="22"/>
        </w:rPr>
        <w:lastRenderedPageBreak/>
        <w:t xml:space="preserve">FORMULARY PLACEMENT, UTILIZATION AND COST EXPERIENCE </w:t>
      </w:r>
    </w:p>
    <w:p w:rsidR="003E6F6E" w:rsidRPr="00031F67" w:rsidRDefault="003E6F6E" w:rsidP="00175926">
      <w:pPr>
        <w:rPr>
          <w:rFonts w:asciiTheme="minorHAnsi" w:hAnsiTheme="minorHAnsi" w:cstheme="minorHAnsi"/>
          <w:noProof/>
          <w:sz w:val="22"/>
          <w:szCs w:val="22"/>
        </w:rPr>
      </w:pPr>
    </w:p>
    <w:tbl>
      <w:tblPr>
        <w:tblW w:w="41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113"/>
        <w:gridCol w:w="631"/>
        <w:gridCol w:w="900"/>
        <w:gridCol w:w="1082"/>
        <w:gridCol w:w="909"/>
        <w:gridCol w:w="1082"/>
        <w:gridCol w:w="729"/>
        <w:gridCol w:w="1144"/>
        <w:gridCol w:w="1267"/>
        <w:gridCol w:w="1446"/>
      </w:tblGrid>
      <w:tr w:rsidR="004A3EB2" w:rsidRPr="00C91DCD" w:rsidTr="004A3EB2">
        <w:trPr>
          <w:trHeight w:val="240"/>
          <w:tblHeader/>
          <w:jc w:val="center"/>
        </w:trPr>
        <w:tc>
          <w:tcPr>
            <w:tcW w:w="288" w:type="pct"/>
            <w:shd w:val="clear" w:color="auto" w:fill="7E0000"/>
          </w:tcPr>
          <w:p w:rsidR="004A3EB2" w:rsidRPr="00C91DCD" w:rsidRDefault="004A3EB2" w:rsidP="002F4BAC">
            <w:pPr>
              <w:spacing w:before="40" w:after="40"/>
              <w:jc w:val="center"/>
              <w:rPr>
                <w:rFonts w:asciiTheme="minorHAnsi" w:hAnsiTheme="minorHAnsi" w:cstheme="minorHAnsi"/>
                <w:b/>
                <w:sz w:val="18"/>
                <w:szCs w:val="18"/>
              </w:rPr>
            </w:pPr>
          </w:p>
        </w:tc>
        <w:tc>
          <w:tcPr>
            <w:tcW w:w="1519" w:type="pct"/>
            <w:gridSpan w:val="3"/>
            <w:shd w:val="clear" w:color="auto" w:fill="7E0000"/>
          </w:tcPr>
          <w:p w:rsidR="004A3EB2" w:rsidRPr="00C91DCD" w:rsidRDefault="004A3EB2" w:rsidP="002B42C6">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UTILIZATION HISTORY</w:t>
            </w:r>
          </w:p>
        </w:tc>
        <w:tc>
          <w:tcPr>
            <w:tcW w:w="1281" w:type="pct"/>
            <w:gridSpan w:val="3"/>
            <w:shd w:val="clear" w:color="auto" w:fill="7E0000"/>
            <w:vAlign w:val="center"/>
          </w:tcPr>
          <w:p w:rsidR="004A3EB2" w:rsidRPr="00C91DCD" w:rsidRDefault="004A3EB2" w:rsidP="009346F5">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COST</w:t>
            </w:r>
          </w:p>
        </w:tc>
        <w:tc>
          <w:tcPr>
            <w:tcW w:w="781" w:type="pct"/>
            <w:gridSpan w:val="2"/>
            <w:shd w:val="clear" w:color="auto" w:fill="7E0000"/>
          </w:tcPr>
          <w:p w:rsidR="004A3EB2" w:rsidRPr="00C91DCD" w:rsidRDefault="004A3EB2" w:rsidP="009346F5">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PRIOR AUTH HISTORY</w:t>
            </w:r>
          </w:p>
        </w:tc>
        <w:tc>
          <w:tcPr>
            <w:tcW w:w="1131" w:type="pct"/>
            <w:gridSpan w:val="2"/>
            <w:shd w:val="clear" w:color="auto" w:fill="7E0000"/>
            <w:vAlign w:val="center"/>
          </w:tcPr>
          <w:p w:rsidR="004A3EB2" w:rsidRPr="00C91DCD" w:rsidRDefault="004A3EB2" w:rsidP="009346F5">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 xml:space="preserve">FORMULARY PLACEMENT </w:t>
            </w:r>
          </w:p>
        </w:tc>
      </w:tr>
      <w:tr w:rsidR="004A3EB2" w:rsidRPr="00C91DCD" w:rsidTr="004A3EB2">
        <w:trPr>
          <w:trHeight w:val="333"/>
          <w:tblHeader/>
          <w:jc w:val="center"/>
        </w:trPr>
        <w:tc>
          <w:tcPr>
            <w:tcW w:w="288" w:type="pct"/>
            <w:shd w:val="clear" w:color="auto" w:fill="7E0000"/>
          </w:tcPr>
          <w:p w:rsidR="004A3EB2" w:rsidRPr="00C91DCD" w:rsidRDefault="004A3EB2" w:rsidP="009346F5">
            <w:pPr>
              <w:spacing w:before="40" w:after="40"/>
              <w:rPr>
                <w:rFonts w:asciiTheme="minorHAnsi" w:hAnsiTheme="minorHAnsi" w:cstheme="minorHAnsi"/>
                <w:b/>
                <w:sz w:val="18"/>
                <w:szCs w:val="18"/>
              </w:rPr>
            </w:pPr>
            <w:r w:rsidRPr="00C91DCD">
              <w:rPr>
                <w:rFonts w:asciiTheme="minorHAnsi" w:hAnsiTheme="minorHAnsi" w:cstheme="minorHAnsi"/>
                <w:b/>
                <w:sz w:val="18"/>
                <w:szCs w:val="18"/>
              </w:rPr>
              <w:t>GCN</w:t>
            </w:r>
          </w:p>
        </w:tc>
        <w:tc>
          <w:tcPr>
            <w:tcW w:w="880" w:type="pct"/>
            <w:shd w:val="clear" w:color="auto" w:fill="7E0000"/>
            <w:vAlign w:val="center"/>
          </w:tcPr>
          <w:p w:rsidR="004A3EB2" w:rsidRPr="00C91DCD" w:rsidRDefault="004A3EB2" w:rsidP="009346F5">
            <w:pPr>
              <w:spacing w:before="40" w:after="40"/>
              <w:rPr>
                <w:rFonts w:asciiTheme="minorHAnsi" w:hAnsiTheme="minorHAnsi" w:cstheme="minorHAnsi"/>
                <w:b/>
                <w:sz w:val="18"/>
                <w:szCs w:val="18"/>
              </w:rPr>
            </w:pPr>
            <w:r w:rsidRPr="00C91DCD">
              <w:rPr>
                <w:rFonts w:asciiTheme="minorHAnsi" w:hAnsiTheme="minorHAnsi" w:cstheme="minorHAnsi"/>
                <w:b/>
                <w:sz w:val="18"/>
                <w:szCs w:val="18"/>
              </w:rPr>
              <w:t>Medication</w:t>
            </w:r>
          </w:p>
        </w:tc>
        <w:tc>
          <w:tcPr>
            <w:tcW w:w="263" w:type="pct"/>
            <w:shd w:val="clear" w:color="auto" w:fill="7E0000"/>
            <w:vAlign w:val="center"/>
          </w:tcPr>
          <w:p w:rsidR="004A3EB2" w:rsidRPr="00C91DCD" w:rsidRDefault="004A3EB2" w:rsidP="009346F5">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Rx</w:t>
            </w:r>
          </w:p>
        </w:tc>
        <w:tc>
          <w:tcPr>
            <w:tcW w:w="375" w:type="pct"/>
            <w:shd w:val="clear" w:color="auto" w:fill="7E0000"/>
            <w:vAlign w:val="center"/>
          </w:tcPr>
          <w:p w:rsidR="004A3EB2" w:rsidRPr="00C91DCD" w:rsidRDefault="004A3EB2" w:rsidP="009346F5">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Mbrs</w:t>
            </w:r>
          </w:p>
        </w:tc>
        <w:tc>
          <w:tcPr>
            <w:tcW w:w="451" w:type="pct"/>
            <w:shd w:val="clear" w:color="auto" w:fill="7E0000"/>
            <w:vAlign w:val="center"/>
          </w:tcPr>
          <w:p w:rsidR="004A3EB2" w:rsidRPr="00C91DCD" w:rsidRDefault="004A3EB2" w:rsidP="009346F5">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Total</w:t>
            </w:r>
          </w:p>
        </w:tc>
        <w:tc>
          <w:tcPr>
            <w:tcW w:w="379" w:type="pct"/>
            <w:shd w:val="clear" w:color="auto" w:fill="7E0000"/>
            <w:vAlign w:val="center"/>
          </w:tcPr>
          <w:p w:rsidR="004A3EB2" w:rsidRPr="00C91DCD" w:rsidRDefault="004A3EB2" w:rsidP="009346F5">
            <w:pPr>
              <w:spacing w:before="40" w:after="40"/>
              <w:jc w:val="center"/>
              <w:rPr>
                <w:rFonts w:asciiTheme="minorHAnsi" w:hAnsiTheme="minorHAnsi" w:cstheme="minorHAnsi"/>
                <w:b/>
                <w:sz w:val="18"/>
                <w:szCs w:val="18"/>
                <w:vertAlign w:val="superscript"/>
              </w:rPr>
            </w:pPr>
            <w:r w:rsidRPr="00C91DCD">
              <w:rPr>
                <w:rFonts w:asciiTheme="minorHAnsi" w:hAnsiTheme="minorHAnsi" w:cstheme="minorHAnsi"/>
                <w:b/>
                <w:sz w:val="18"/>
                <w:szCs w:val="18"/>
              </w:rPr>
              <w:t>Avg/Rx</w:t>
            </w:r>
          </w:p>
        </w:tc>
        <w:tc>
          <w:tcPr>
            <w:tcW w:w="450" w:type="pct"/>
            <w:shd w:val="clear" w:color="auto" w:fill="7E0000"/>
            <w:vAlign w:val="center"/>
          </w:tcPr>
          <w:p w:rsidR="004A3EB2" w:rsidRPr="00C91DCD" w:rsidRDefault="004A3EB2" w:rsidP="009346F5">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Cost/</w:t>
            </w:r>
          </w:p>
          <w:p w:rsidR="004A3EB2" w:rsidRPr="00C91DCD" w:rsidRDefault="004A3EB2" w:rsidP="009346F5">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Month^</w:t>
            </w:r>
          </w:p>
        </w:tc>
        <w:tc>
          <w:tcPr>
            <w:tcW w:w="304" w:type="pct"/>
            <w:shd w:val="clear" w:color="auto" w:fill="7E0000"/>
          </w:tcPr>
          <w:p w:rsidR="004A3EB2" w:rsidRPr="00C91DCD" w:rsidRDefault="004A3EB2" w:rsidP="002B42C6">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Total</w:t>
            </w:r>
          </w:p>
        </w:tc>
        <w:tc>
          <w:tcPr>
            <w:tcW w:w="477" w:type="pct"/>
            <w:shd w:val="clear" w:color="auto" w:fill="7E0000"/>
          </w:tcPr>
          <w:p w:rsidR="004A3EB2" w:rsidRPr="00C91DCD" w:rsidRDefault="004A3EB2" w:rsidP="002B42C6">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Approved (%)</w:t>
            </w:r>
          </w:p>
        </w:tc>
        <w:tc>
          <w:tcPr>
            <w:tcW w:w="528" w:type="pct"/>
            <w:shd w:val="clear" w:color="auto" w:fill="7E0000"/>
            <w:vAlign w:val="center"/>
          </w:tcPr>
          <w:p w:rsidR="004A3EB2" w:rsidRPr="00C91DCD" w:rsidRDefault="004A3EB2" w:rsidP="002B42C6">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 xml:space="preserve">Current </w:t>
            </w:r>
          </w:p>
        </w:tc>
        <w:tc>
          <w:tcPr>
            <w:tcW w:w="603" w:type="pct"/>
            <w:shd w:val="clear" w:color="auto" w:fill="7E0000"/>
            <w:vAlign w:val="center"/>
          </w:tcPr>
          <w:p w:rsidR="004A3EB2" w:rsidRPr="00C91DCD" w:rsidRDefault="004A3EB2" w:rsidP="00272F99">
            <w:pPr>
              <w:spacing w:before="40" w:after="40"/>
              <w:jc w:val="center"/>
              <w:rPr>
                <w:rFonts w:asciiTheme="minorHAnsi" w:hAnsiTheme="minorHAnsi" w:cstheme="minorHAnsi"/>
                <w:b/>
                <w:sz w:val="18"/>
                <w:szCs w:val="18"/>
              </w:rPr>
            </w:pPr>
            <w:r w:rsidRPr="00C91DCD">
              <w:rPr>
                <w:rFonts w:asciiTheme="minorHAnsi" w:hAnsiTheme="minorHAnsi" w:cstheme="minorHAnsi"/>
                <w:b/>
                <w:sz w:val="18"/>
                <w:szCs w:val="18"/>
              </w:rPr>
              <w:t>Recommend</w:t>
            </w:r>
          </w:p>
        </w:tc>
      </w:tr>
      <w:tr w:rsidR="004A3EB2" w:rsidRPr="00C91DCD" w:rsidTr="004A3EB2">
        <w:trPr>
          <w:trHeight w:val="299"/>
          <w:jc w:val="center"/>
        </w:trPr>
        <w:tc>
          <w:tcPr>
            <w:tcW w:w="288" w:type="pct"/>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92024</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alfuzosin (Uroxatral®) 10 mg ER tab</w:t>
            </w:r>
          </w:p>
        </w:tc>
        <w:tc>
          <w:tcPr>
            <w:tcW w:w="263" w:type="pct"/>
            <w:shd w:val="clear" w:color="auto" w:fill="auto"/>
            <w:vAlign w:val="center"/>
          </w:tcPr>
          <w:p w:rsidR="004A3EB2" w:rsidRPr="00C91DCD" w:rsidRDefault="004A3EB2" w:rsidP="009346F5">
            <w:pPr>
              <w:jc w:val="right"/>
              <w:rPr>
                <w:rFonts w:asciiTheme="minorHAnsi" w:hAnsiTheme="minorHAnsi" w:cstheme="minorHAnsi"/>
                <w:sz w:val="18"/>
                <w:szCs w:val="18"/>
              </w:rPr>
            </w:pPr>
          </w:p>
        </w:tc>
        <w:tc>
          <w:tcPr>
            <w:tcW w:w="375" w:type="pct"/>
            <w:shd w:val="clear" w:color="auto" w:fill="auto"/>
            <w:vAlign w:val="center"/>
          </w:tcPr>
          <w:p w:rsidR="004A3EB2" w:rsidRPr="00C91DCD" w:rsidRDefault="004A3EB2" w:rsidP="009346F5">
            <w:pPr>
              <w:jc w:val="right"/>
              <w:rPr>
                <w:rFonts w:asciiTheme="minorHAnsi" w:hAnsiTheme="minorHAnsi" w:cstheme="minorHAnsi"/>
                <w:sz w:val="18"/>
                <w:szCs w:val="18"/>
              </w:rPr>
            </w:pPr>
          </w:p>
        </w:tc>
        <w:tc>
          <w:tcPr>
            <w:tcW w:w="451" w:type="pct"/>
            <w:shd w:val="clear" w:color="auto" w:fill="auto"/>
            <w:vAlign w:val="center"/>
          </w:tcPr>
          <w:p w:rsidR="004A3EB2" w:rsidRPr="00C91DCD" w:rsidRDefault="004A3EB2" w:rsidP="009346F5">
            <w:pPr>
              <w:jc w:val="right"/>
              <w:rPr>
                <w:rFonts w:asciiTheme="minorHAnsi" w:hAnsiTheme="minorHAnsi" w:cstheme="minorHAnsi"/>
                <w:sz w:val="18"/>
                <w:szCs w:val="18"/>
              </w:rPr>
            </w:pPr>
          </w:p>
        </w:tc>
        <w:tc>
          <w:tcPr>
            <w:tcW w:w="379" w:type="pct"/>
            <w:shd w:val="clear" w:color="auto" w:fill="auto"/>
            <w:vAlign w:val="center"/>
          </w:tcPr>
          <w:p w:rsidR="004A3EB2" w:rsidRPr="00C91DCD" w:rsidRDefault="004A3EB2" w:rsidP="00272F99">
            <w:pPr>
              <w:jc w:val="right"/>
              <w:rPr>
                <w:rFonts w:asciiTheme="minorHAnsi" w:hAnsiTheme="minorHAnsi" w:cstheme="minorHAnsi"/>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sz w:val="18"/>
                <w:szCs w:val="18"/>
              </w:rPr>
            </w:pPr>
          </w:p>
        </w:tc>
        <w:tc>
          <w:tcPr>
            <w:tcW w:w="304" w:type="pct"/>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477" w:type="pct"/>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528" w:type="pct"/>
            <w:shd w:val="clear" w:color="auto" w:fill="auto"/>
            <w:vAlign w:val="center"/>
          </w:tcPr>
          <w:p w:rsidR="004A3EB2" w:rsidRPr="000B7F60" w:rsidRDefault="004A3EB2" w:rsidP="0077735B">
            <w:pPr>
              <w:spacing w:before="10" w:after="10"/>
              <w:jc w:val="center"/>
              <w:rPr>
                <w:rFonts w:asciiTheme="minorHAnsi" w:hAnsiTheme="minorHAnsi" w:cstheme="minorHAnsi"/>
                <w:sz w:val="18"/>
                <w:szCs w:val="18"/>
              </w:rPr>
            </w:pPr>
          </w:p>
        </w:tc>
        <w:tc>
          <w:tcPr>
            <w:tcW w:w="603" w:type="pct"/>
            <w:shd w:val="clear" w:color="auto" w:fill="auto"/>
            <w:vAlign w:val="center"/>
          </w:tcPr>
          <w:p w:rsidR="004A3EB2" w:rsidRPr="000B7F60" w:rsidRDefault="004A3EB2" w:rsidP="002F4BAC">
            <w:pPr>
              <w:jc w:val="center"/>
              <w:rPr>
                <w:rFonts w:asciiTheme="minorHAnsi" w:hAnsiTheme="minorHAnsi" w:cstheme="minorHAnsi"/>
                <w:sz w:val="18"/>
                <w:szCs w:val="18"/>
              </w:rPr>
            </w:pPr>
          </w:p>
        </w:tc>
      </w:tr>
      <w:tr w:rsidR="004A3EB2" w:rsidRPr="00C91DCD" w:rsidTr="004A3EB2">
        <w:trPr>
          <w:trHeight w:val="299"/>
          <w:jc w:val="center"/>
        </w:trPr>
        <w:tc>
          <w:tcPr>
            <w:tcW w:w="288" w:type="pct"/>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16857</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16858</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Rapaflo® (sildosin) 4, 8 mg cap</w:t>
            </w:r>
          </w:p>
        </w:tc>
        <w:tc>
          <w:tcPr>
            <w:tcW w:w="263" w:type="pct"/>
            <w:shd w:val="clear" w:color="auto" w:fill="auto"/>
            <w:vAlign w:val="center"/>
          </w:tcPr>
          <w:p w:rsidR="004A3EB2" w:rsidRPr="00C91DCD" w:rsidRDefault="004A3EB2" w:rsidP="009346F5">
            <w:pPr>
              <w:jc w:val="right"/>
              <w:rPr>
                <w:rFonts w:asciiTheme="minorHAnsi" w:hAnsiTheme="minorHAnsi" w:cstheme="minorHAnsi"/>
                <w:sz w:val="18"/>
                <w:szCs w:val="18"/>
              </w:rPr>
            </w:pPr>
          </w:p>
        </w:tc>
        <w:tc>
          <w:tcPr>
            <w:tcW w:w="375" w:type="pct"/>
            <w:shd w:val="clear" w:color="auto" w:fill="auto"/>
            <w:vAlign w:val="center"/>
          </w:tcPr>
          <w:p w:rsidR="004A3EB2" w:rsidRPr="00C91DCD" w:rsidRDefault="004A3EB2" w:rsidP="009346F5">
            <w:pPr>
              <w:jc w:val="right"/>
              <w:rPr>
                <w:rFonts w:asciiTheme="minorHAnsi" w:hAnsiTheme="minorHAnsi" w:cstheme="minorHAnsi"/>
                <w:sz w:val="18"/>
                <w:szCs w:val="18"/>
              </w:rPr>
            </w:pPr>
          </w:p>
        </w:tc>
        <w:tc>
          <w:tcPr>
            <w:tcW w:w="451" w:type="pct"/>
            <w:shd w:val="clear" w:color="auto" w:fill="auto"/>
            <w:vAlign w:val="center"/>
          </w:tcPr>
          <w:p w:rsidR="004A3EB2" w:rsidRPr="00C91DCD" w:rsidRDefault="004A3EB2" w:rsidP="009346F5">
            <w:pPr>
              <w:jc w:val="right"/>
              <w:rPr>
                <w:rFonts w:asciiTheme="minorHAnsi" w:hAnsiTheme="minorHAnsi" w:cstheme="minorHAnsi"/>
                <w:sz w:val="18"/>
                <w:szCs w:val="18"/>
              </w:rPr>
            </w:pPr>
          </w:p>
        </w:tc>
        <w:tc>
          <w:tcPr>
            <w:tcW w:w="379" w:type="pct"/>
            <w:shd w:val="clear" w:color="auto" w:fill="auto"/>
            <w:vAlign w:val="center"/>
          </w:tcPr>
          <w:p w:rsidR="004A3EB2" w:rsidRPr="00C91DCD" w:rsidRDefault="004A3EB2" w:rsidP="00272F99">
            <w:pPr>
              <w:jc w:val="right"/>
              <w:rPr>
                <w:rFonts w:asciiTheme="minorHAnsi" w:hAnsiTheme="minorHAnsi" w:cstheme="minorHAnsi"/>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sz w:val="18"/>
                <w:szCs w:val="18"/>
              </w:rPr>
            </w:pPr>
          </w:p>
        </w:tc>
        <w:tc>
          <w:tcPr>
            <w:tcW w:w="304" w:type="pct"/>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477" w:type="pct"/>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528" w:type="pct"/>
            <w:shd w:val="clear" w:color="auto" w:fill="auto"/>
            <w:vAlign w:val="center"/>
          </w:tcPr>
          <w:p w:rsidR="004A3EB2" w:rsidRPr="000B7F60" w:rsidRDefault="004A3EB2" w:rsidP="0077735B">
            <w:pPr>
              <w:spacing w:before="10" w:after="10"/>
              <w:jc w:val="center"/>
              <w:rPr>
                <w:rFonts w:asciiTheme="minorHAnsi" w:hAnsiTheme="minorHAnsi" w:cstheme="minorHAnsi"/>
                <w:sz w:val="18"/>
                <w:szCs w:val="18"/>
              </w:rPr>
            </w:pPr>
          </w:p>
        </w:tc>
        <w:tc>
          <w:tcPr>
            <w:tcW w:w="603" w:type="pct"/>
            <w:shd w:val="clear" w:color="auto" w:fill="auto"/>
            <w:vAlign w:val="center"/>
          </w:tcPr>
          <w:p w:rsidR="004A3EB2" w:rsidRPr="000B7F60" w:rsidRDefault="004A3EB2" w:rsidP="0077735B">
            <w:pPr>
              <w:jc w:val="center"/>
              <w:rPr>
                <w:rFonts w:asciiTheme="minorHAnsi" w:hAnsiTheme="minorHAnsi" w:cstheme="minorHAnsi"/>
                <w:sz w:val="18"/>
                <w:szCs w:val="18"/>
              </w:rPr>
            </w:pPr>
          </w:p>
        </w:tc>
      </w:tr>
      <w:tr w:rsidR="004A3EB2" w:rsidRPr="00C91DCD" w:rsidTr="004A3EB2">
        <w:trPr>
          <w:trHeight w:val="299"/>
          <w:jc w:val="center"/>
        </w:trPr>
        <w:tc>
          <w:tcPr>
            <w:tcW w:w="288" w:type="pct"/>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91985</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84848</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Cardura XL® (doxazosin mesylate) 4, 8 mg ER tab</w:t>
            </w:r>
          </w:p>
        </w:tc>
        <w:tc>
          <w:tcPr>
            <w:tcW w:w="263" w:type="pct"/>
            <w:shd w:val="clear" w:color="auto" w:fill="auto"/>
            <w:vAlign w:val="center"/>
          </w:tcPr>
          <w:p w:rsidR="004A3EB2" w:rsidRPr="00C91DCD" w:rsidRDefault="004A3EB2" w:rsidP="0077735B">
            <w:pPr>
              <w:jc w:val="right"/>
              <w:rPr>
                <w:rFonts w:asciiTheme="minorHAnsi" w:hAnsiTheme="minorHAnsi" w:cstheme="minorHAnsi"/>
                <w:sz w:val="18"/>
                <w:szCs w:val="18"/>
              </w:rPr>
            </w:pPr>
          </w:p>
        </w:tc>
        <w:tc>
          <w:tcPr>
            <w:tcW w:w="375" w:type="pct"/>
            <w:shd w:val="clear" w:color="auto" w:fill="auto"/>
            <w:vAlign w:val="center"/>
          </w:tcPr>
          <w:p w:rsidR="004A3EB2" w:rsidRPr="00C91DCD" w:rsidRDefault="004A3EB2" w:rsidP="0077735B">
            <w:pPr>
              <w:jc w:val="right"/>
              <w:rPr>
                <w:rFonts w:asciiTheme="minorHAnsi" w:hAnsiTheme="minorHAnsi" w:cstheme="minorHAnsi"/>
                <w:sz w:val="18"/>
                <w:szCs w:val="18"/>
              </w:rPr>
            </w:pPr>
          </w:p>
        </w:tc>
        <w:tc>
          <w:tcPr>
            <w:tcW w:w="451" w:type="pct"/>
            <w:shd w:val="clear" w:color="auto" w:fill="auto"/>
            <w:vAlign w:val="center"/>
          </w:tcPr>
          <w:p w:rsidR="004A3EB2" w:rsidRPr="00C91DCD" w:rsidRDefault="004A3EB2" w:rsidP="0077735B">
            <w:pPr>
              <w:jc w:val="right"/>
              <w:rPr>
                <w:rFonts w:asciiTheme="minorHAnsi" w:hAnsiTheme="minorHAnsi" w:cstheme="minorHAnsi"/>
                <w:sz w:val="18"/>
                <w:szCs w:val="18"/>
              </w:rPr>
            </w:pPr>
          </w:p>
        </w:tc>
        <w:tc>
          <w:tcPr>
            <w:tcW w:w="379" w:type="pct"/>
            <w:shd w:val="clear" w:color="auto" w:fill="auto"/>
            <w:vAlign w:val="center"/>
          </w:tcPr>
          <w:p w:rsidR="004A3EB2" w:rsidRPr="00C91DCD" w:rsidRDefault="004A3EB2" w:rsidP="0077735B">
            <w:pPr>
              <w:jc w:val="right"/>
              <w:rPr>
                <w:rFonts w:asciiTheme="minorHAnsi" w:hAnsiTheme="minorHAnsi" w:cstheme="minorHAnsi"/>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sz w:val="18"/>
                <w:szCs w:val="18"/>
              </w:rPr>
            </w:pPr>
          </w:p>
        </w:tc>
        <w:tc>
          <w:tcPr>
            <w:tcW w:w="304" w:type="pct"/>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477" w:type="pct"/>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528" w:type="pct"/>
            <w:shd w:val="clear" w:color="auto" w:fill="auto"/>
            <w:vAlign w:val="center"/>
          </w:tcPr>
          <w:p w:rsidR="004A3EB2" w:rsidRPr="000B7F60" w:rsidRDefault="004A3EB2" w:rsidP="0077735B">
            <w:pPr>
              <w:spacing w:before="10" w:after="10"/>
              <w:jc w:val="center"/>
              <w:rPr>
                <w:rFonts w:asciiTheme="minorHAnsi" w:hAnsiTheme="minorHAnsi" w:cstheme="minorHAnsi"/>
                <w:sz w:val="18"/>
                <w:szCs w:val="18"/>
              </w:rPr>
            </w:pPr>
          </w:p>
        </w:tc>
        <w:tc>
          <w:tcPr>
            <w:tcW w:w="603" w:type="pct"/>
            <w:shd w:val="clear" w:color="auto" w:fill="auto"/>
            <w:vAlign w:val="center"/>
          </w:tcPr>
          <w:p w:rsidR="004A3EB2" w:rsidRPr="000B7F60" w:rsidRDefault="004A3EB2" w:rsidP="0077735B">
            <w:pPr>
              <w:jc w:val="center"/>
              <w:rPr>
                <w:rFonts w:asciiTheme="minorHAnsi" w:hAnsiTheme="minorHAnsi" w:cstheme="minorHAnsi"/>
                <w:sz w:val="18"/>
                <w:szCs w:val="18"/>
              </w:rPr>
            </w:pPr>
          </w:p>
        </w:tc>
      </w:tr>
      <w:tr w:rsidR="004A3EB2" w:rsidRPr="00C91DCD" w:rsidTr="004A3EB2">
        <w:trPr>
          <w:trHeight w:val="307"/>
          <w:jc w:val="center"/>
        </w:trPr>
        <w:tc>
          <w:tcPr>
            <w:tcW w:w="288" w:type="pct"/>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33431</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33432</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33433</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33434</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doxazosin mesylate (Cardura®) 1, 2, 4, 8 mg tab</w:t>
            </w:r>
          </w:p>
        </w:tc>
        <w:tc>
          <w:tcPr>
            <w:tcW w:w="263"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5"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1"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9"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0"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04" w:type="pct"/>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477" w:type="pct"/>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528" w:type="pct"/>
            <w:shd w:val="clear" w:color="auto" w:fill="auto"/>
            <w:vAlign w:val="center"/>
          </w:tcPr>
          <w:p w:rsidR="004A3EB2" w:rsidRPr="000B7F60" w:rsidRDefault="004A3EB2" w:rsidP="0077735B">
            <w:pPr>
              <w:spacing w:before="10" w:after="10"/>
              <w:jc w:val="center"/>
              <w:rPr>
                <w:rFonts w:asciiTheme="minorHAnsi" w:hAnsiTheme="minorHAnsi" w:cstheme="minorHAnsi"/>
                <w:sz w:val="18"/>
                <w:szCs w:val="18"/>
              </w:rPr>
            </w:pPr>
          </w:p>
        </w:tc>
        <w:tc>
          <w:tcPr>
            <w:tcW w:w="603" w:type="pct"/>
            <w:shd w:val="clear" w:color="auto" w:fill="auto"/>
            <w:vAlign w:val="center"/>
          </w:tcPr>
          <w:p w:rsidR="004A3EB2" w:rsidRPr="000B7F60" w:rsidRDefault="004A3EB2" w:rsidP="002F4BAC">
            <w:pPr>
              <w:jc w:val="center"/>
              <w:rPr>
                <w:rFonts w:asciiTheme="minorHAnsi" w:hAnsiTheme="minorHAnsi" w:cstheme="minorHAnsi"/>
                <w:b/>
                <w:sz w:val="18"/>
                <w:szCs w:val="18"/>
              </w:rPr>
            </w:pPr>
          </w:p>
        </w:tc>
      </w:tr>
      <w:tr w:rsidR="004A3EB2" w:rsidRPr="00C91DCD" w:rsidTr="004A3EB2">
        <w:trPr>
          <w:trHeight w:val="193"/>
          <w:jc w:val="center"/>
        </w:trPr>
        <w:tc>
          <w:tcPr>
            <w:tcW w:w="288" w:type="pct"/>
            <w:shd w:val="clear" w:color="auto" w:fill="auto"/>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47124</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47125</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47126</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47127</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terazosin 1, 2, 5, 10 mg cap</w:t>
            </w:r>
          </w:p>
        </w:tc>
        <w:tc>
          <w:tcPr>
            <w:tcW w:w="263"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5"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1"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9"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color w:val="000000"/>
                <w:sz w:val="18"/>
                <w:szCs w:val="18"/>
              </w:rPr>
            </w:pPr>
          </w:p>
        </w:tc>
        <w:tc>
          <w:tcPr>
            <w:tcW w:w="304" w:type="pct"/>
            <w:shd w:val="clear" w:color="auto" w:fill="auto"/>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477" w:type="pct"/>
            <w:shd w:val="clear" w:color="auto" w:fill="auto"/>
            <w:vAlign w:val="center"/>
          </w:tcPr>
          <w:p w:rsidR="004A3EB2" w:rsidRPr="00C91DCD" w:rsidRDefault="004A3EB2" w:rsidP="009D1C08">
            <w:pPr>
              <w:spacing w:before="10" w:after="10"/>
              <w:jc w:val="center"/>
              <w:rPr>
                <w:rFonts w:asciiTheme="minorHAnsi" w:hAnsiTheme="minorHAnsi" w:cstheme="minorHAnsi"/>
                <w:sz w:val="18"/>
                <w:szCs w:val="18"/>
              </w:rPr>
            </w:pPr>
          </w:p>
        </w:tc>
        <w:tc>
          <w:tcPr>
            <w:tcW w:w="528" w:type="pct"/>
            <w:shd w:val="clear" w:color="auto" w:fill="auto"/>
            <w:vAlign w:val="center"/>
          </w:tcPr>
          <w:p w:rsidR="004A3EB2" w:rsidRPr="000B7F60" w:rsidRDefault="004A3EB2" w:rsidP="0077735B">
            <w:pPr>
              <w:spacing w:before="20" w:after="20"/>
              <w:jc w:val="center"/>
              <w:rPr>
                <w:rFonts w:asciiTheme="minorHAnsi" w:hAnsiTheme="minorHAnsi" w:cstheme="minorHAnsi"/>
                <w:sz w:val="18"/>
                <w:szCs w:val="18"/>
              </w:rPr>
            </w:pPr>
          </w:p>
        </w:tc>
        <w:tc>
          <w:tcPr>
            <w:tcW w:w="603" w:type="pct"/>
            <w:shd w:val="clear" w:color="auto" w:fill="auto"/>
            <w:vAlign w:val="center"/>
          </w:tcPr>
          <w:p w:rsidR="004A3EB2" w:rsidRPr="000B7F60" w:rsidRDefault="004A3EB2" w:rsidP="000E1064">
            <w:pPr>
              <w:spacing w:before="20" w:after="20"/>
              <w:ind w:left="69"/>
              <w:jc w:val="center"/>
              <w:rPr>
                <w:rFonts w:asciiTheme="minorHAnsi" w:hAnsiTheme="minorHAnsi" w:cstheme="minorHAnsi"/>
                <w:sz w:val="18"/>
                <w:szCs w:val="18"/>
              </w:rPr>
            </w:pPr>
          </w:p>
        </w:tc>
      </w:tr>
      <w:tr w:rsidR="004A3EB2" w:rsidRPr="00C91DCD" w:rsidTr="004A3EB2">
        <w:trPr>
          <w:trHeight w:val="193"/>
          <w:jc w:val="center"/>
        </w:trPr>
        <w:tc>
          <w:tcPr>
            <w:tcW w:w="288" w:type="pct"/>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48191</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tamsulosin (Flomax®) 0.4 mg ER cap</w:t>
            </w:r>
          </w:p>
        </w:tc>
        <w:tc>
          <w:tcPr>
            <w:tcW w:w="263"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5"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1"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9"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color w:val="000000"/>
                <w:sz w:val="18"/>
                <w:szCs w:val="18"/>
              </w:rPr>
            </w:pPr>
          </w:p>
        </w:tc>
        <w:tc>
          <w:tcPr>
            <w:tcW w:w="304" w:type="pct"/>
            <w:vAlign w:val="center"/>
          </w:tcPr>
          <w:p w:rsidR="004A3EB2" w:rsidRPr="00C91DCD" w:rsidRDefault="004A3EB2" w:rsidP="0077735B">
            <w:pPr>
              <w:spacing w:before="10" w:after="10"/>
              <w:jc w:val="center"/>
              <w:rPr>
                <w:rFonts w:asciiTheme="minorHAnsi" w:hAnsiTheme="minorHAnsi" w:cstheme="minorHAnsi"/>
                <w:sz w:val="18"/>
                <w:szCs w:val="18"/>
              </w:rPr>
            </w:pPr>
          </w:p>
        </w:tc>
        <w:tc>
          <w:tcPr>
            <w:tcW w:w="477" w:type="pct"/>
            <w:vAlign w:val="center"/>
          </w:tcPr>
          <w:p w:rsidR="004A3EB2" w:rsidRPr="00C91DCD" w:rsidRDefault="004A3EB2" w:rsidP="0077735B">
            <w:pPr>
              <w:spacing w:before="10" w:after="10"/>
              <w:jc w:val="center"/>
              <w:rPr>
                <w:rFonts w:asciiTheme="minorHAnsi" w:hAnsiTheme="minorHAnsi" w:cstheme="minorHAnsi"/>
                <w:sz w:val="18"/>
                <w:szCs w:val="18"/>
              </w:rPr>
            </w:pPr>
          </w:p>
        </w:tc>
        <w:tc>
          <w:tcPr>
            <w:tcW w:w="528" w:type="pct"/>
            <w:shd w:val="clear" w:color="auto" w:fill="auto"/>
            <w:vAlign w:val="center"/>
          </w:tcPr>
          <w:p w:rsidR="004A3EB2" w:rsidRPr="000B7F60" w:rsidRDefault="004A3EB2" w:rsidP="0077735B">
            <w:pPr>
              <w:spacing w:before="20" w:after="20"/>
              <w:jc w:val="center"/>
              <w:rPr>
                <w:rFonts w:asciiTheme="minorHAnsi" w:hAnsiTheme="minorHAnsi" w:cstheme="minorHAnsi"/>
                <w:sz w:val="18"/>
                <w:szCs w:val="18"/>
              </w:rPr>
            </w:pPr>
          </w:p>
        </w:tc>
        <w:tc>
          <w:tcPr>
            <w:tcW w:w="603" w:type="pct"/>
            <w:shd w:val="clear" w:color="auto" w:fill="auto"/>
            <w:vAlign w:val="center"/>
          </w:tcPr>
          <w:p w:rsidR="004A3EB2" w:rsidRPr="00B50EDD" w:rsidRDefault="004A3EB2" w:rsidP="00B50EDD">
            <w:pPr>
              <w:spacing w:before="20" w:after="20"/>
              <w:ind w:left="69"/>
              <w:jc w:val="center"/>
              <w:rPr>
                <w:rFonts w:asciiTheme="minorHAnsi" w:hAnsiTheme="minorHAnsi" w:cstheme="minorHAnsi"/>
                <w:b/>
                <w:sz w:val="18"/>
                <w:szCs w:val="18"/>
              </w:rPr>
            </w:pPr>
          </w:p>
        </w:tc>
      </w:tr>
      <w:tr w:rsidR="004A3EB2" w:rsidRPr="00C91DCD" w:rsidTr="004A3EB2">
        <w:trPr>
          <w:trHeight w:val="193"/>
          <w:jc w:val="center"/>
        </w:trPr>
        <w:tc>
          <w:tcPr>
            <w:tcW w:w="288" w:type="pct"/>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28596</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dutasteride/tamsulosin (Jalyn®) 0.5-0.4 mg cap</w:t>
            </w:r>
          </w:p>
        </w:tc>
        <w:tc>
          <w:tcPr>
            <w:tcW w:w="263" w:type="pct"/>
            <w:shd w:val="clear" w:color="auto" w:fill="auto"/>
            <w:vAlign w:val="center"/>
          </w:tcPr>
          <w:p w:rsidR="004A3EB2" w:rsidRPr="00C91DCD" w:rsidRDefault="004A3EB2" w:rsidP="0077735B">
            <w:pPr>
              <w:jc w:val="right"/>
              <w:rPr>
                <w:rFonts w:asciiTheme="minorHAnsi" w:hAnsiTheme="minorHAnsi" w:cstheme="minorHAnsi"/>
                <w:sz w:val="18"/>
                <w:szCs w:val="18"/>
              </w:rPr>
            </w:pPr>
          </w:p>
        </w:tc>
        <w:tc>
          <w:tcPr>
            <w:tcW w:w="375" w:type="pct"/>
            <w:shd w:val="clear" w:color="auto" w:fill="auto"/>
            <w:vAlign w:val="center"/>
          </w:tcPr>
          <w:p w:rsidR="004A3EB2" w:rsidRPr="00C91DCD" w:rsidRDefault="004A3EB2" w:rsidP="0077735B">
            <w:pPr>
              <w:jc w:val="right"/>
              <w:rPr>
                <w:rFonts w:asciiTheme="minorHAnsi" w:hAnsiTheme="minorHAnsi" w:cstheme="minorHAnsi"/>
                <w:sz w:val="18"/>
                <w:szCs w:val="18"/>
              </w:rPr>
            </w:pPr>
          </w:p>
        </w:tc>
        <w:tc>
          <w:tcPr>
            <w:tcW w:w="451" w:type="pct"/>
            <w:shd w:val="clear" w:color="auto" w:fill="auto"/>
            <w:vAlign w:val="center"/>
          </w:tcPr>
          <w:p w:rsidR="004A3EB2" w:rsidRPr="00C91DCD" w:rsidRDefault="004A3EB2" w:rsidP="0077735B">
            <w:pPr>
              <w:jc w:val="right"/>
              <w:rPr>
                <w:rFonts w:asciiTheme="minorHAnsi" w:hAnsiTheme="minorHAnsi" w:cstheme="minorHAnsi"/>
                <w:sz w:val="18"/>
                <w:szCs w:val="18"/>
              </w:rPr>
            </w:pPr>
          </w:p>
        </w:tc>
        <w:tc>
          <w:tcPr>
            <w:tcW w:w="379" w:type="pct"/>
            <w:shd w:val="clear" w:color="auto" w:fill="auto"/>
            <w:vAlign w:val="center"/>
          </w:tcPr>
          <w:p w:rsidR="004A3EB2" w:rsidRPr="00C91DCD" w:rsidRDefault="004A3EB2" w:rsidP="0077735B">
            <w:pPr>
              <w:jc w:val="right"/>
              <w:rPr>
                <w:rFonts w:asciiTheme="minorHAnsi" w:hAnsiTheme="minorHAnsi" w:cstheme="minorHAnsi"/>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color w:val="000000"/>
                <w:sz w:val="18"/>
                <w:szCs w:val="18"/>
              </w:rPr>
            </w:pPr>
          </w:p>
        </w:tc>
        <w:tc>
          <w:tcPr>
            <w:tcW w:w="304" w:type="pct"/>
            <w:vAlign w:val="center"/>
          </w:tcPr>
          <w:p w:rsidR="004A3EB2" w:rsidRPr="00C91DCD" w:rsidRDefault="004A3EB2" w:rsidP="0077735B">
            <w:pPr>
              <w:spacing w:before="10" w:after="10"/>
              <w:jc w:val="center"/>
              <w:rPr>
                <w:rFonts w:asciiTheme="minorHAnsi" w:hAnsiTheme="minorHAnsi" w:cstheme="minorHAnsi"/>
                <w:sz w:val="18"/>
                <w:szCs w:val="18"/>
              </w:rPr>
            </w:pPr>
          </w:p>
        </w:tc>
        <w:tc>
          <w:tcPr>
            <w:tcW w:w="477" w:type="pct"/>
            <w:vAlign w:val="center"/>
          </w:tcPr>
          <w:p w:rsidR="004A3EB2" w:rsidRPr="00C91DCD" w:rsidRDefault="004A3EB2" w:rsidP="0077735B">
            <w:pPr>
              <w:spacing w:before="10" w:after="10"/>
              <w:jc w:val="center"/>
              <w:rPr>
                <w:rFonts w:asciiTheme="minorHAnsi" w:hAnsiTheme="minorHAnsi" w:cstheme="minorHAnsi"/>
                <w:sz w:val="18"/>
                <w:szCs w:val="18"/>
              </w:rPr>
            </w:pPr>
          </w:p>
        </w:tc>
        <w:tc>
          <w:tcPr>
            <w:tcW w:w="528" w:type="pct"/>
            <w:shd w:val="clear" w:color="auto" w:fill="auto"/>
            <w:vAlign w:val="center"/>
          </w:tcPr>
          <w:p w:rsidR="004A3EB2" w:rsidRPr="000B7F60" w:rsidRDefault="004A3EB2" w:rsidP="0077735B">
            <w:pPr>
              <w:spacing w:before="20" w:after="20"/>
              <w:jc w:val="center"/>
              <w:rPr>
                <w:rFonts w:asciiTheme="minorHAnsi" w:hAnsiTheme="minorHAnsi" w:cstheme="minorHAnsi"/>
                <w:sz w:val="18"/>
                <w:szCs w:val="18"/>
              </w:rPr>
            </w:pPr>
          </w:p>
        </w:tc>
        <w:tc>
          <w:tcPr>
            <w:tcW w:w="603" w:type="pct"/>
            <w:shd w:val="clear" w:color="auto" w:fill="auto"/>
            <w:vAlign w:val="center"/>
          </w:tcPr>
          <w:p w:rsidR="004A3EB2" w:rsidRPr="000B7F60" w:rsidRDefault="004A3EB2" w:rsidP="0077735B">
            <w:pPr>
              <w:jc w:val="center"/>
              <w:rPr>
                <w:rFonts w:asciiTheme="minorHAnsi" w:hAnsiTheme="minorHAnsi" w:cstheme="minorHAnsi"/>
                <w:sz w:val="18"/>
                <w:szCs w:val="18"/>
              </w:rPr>
            </w:pPr>
          </w:p>
        </w:tc>
      </w:tr>
      <w:tr w:rsidR="004A3EB2" w:rsidRPr="00C91DCD" w:rsidTr="004A3EB2">
        <w:trPr>
          <w:trHeight w:val="193"/>
          <w:jc w:val="center"/>
        </w:trPr>
        <w:tc>
          <w:tcPr>
            <w:tcW w:w="288" w:type="pct"/>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30521</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finasteride (Proscar®) 5 mg tab</w:t>
            </w:r>
          </w:p>
        </w:tc>
        <w:tc>
          <w:tcPr>
            <w:tcW w:w="263"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5"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1"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9"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color w:val="000000"/>
                <w:sz w:val="18"/>
                <w:szCs w:val="18"/>
              </w:rPr>
            </w:pPr>
          </w:p>
        </w:tc>
        <w:tc>
          <w:tcPr>
            <w:tcW w:w="304" w:type="pct"/>
            <w:vAlign w:val="center"/>
          </w:tcPr>
          <w:p w:rsidR="004A3EB2" w:rsidRPr="00C91DCD" w:rsidRDefault="004A3EB2" w:rsidP="0077735B">
            <w:pPr>
              <w:spacing w:before="10" w:after="10"/>
              <w:jc w:val="center"/>
              <w:rPr>
                <w:rFonts w:asciiTheme="minorHAnsi" w:hAnsiTheme="minorHAnsi" w:cstheme="minorHAnsi"/>
                <w:sz w:val="18"/>
                <w:szCs w:val="18"/>
              </w:rPr>
            </w:pPr>
          </w:p>
        </w:tc>
        <w:tc>
          <w:tcPr>
            <w:tcW w:w="477" w:type="pct"/>
            <w:vAlign w:val="center"/>
          </w:tcPr>
          <w:p w:rsidR="004A3EB2" w:rsidRPr="00C91DCD" w:rsidRDefault="004A3EB2" w:rsidP="0077735B">
            <w:pPr>
              <w:spacing w:before="10" w:after="10"/>
              <w:jc w:val="center"/>
              <w:rPr>
                <w:rFonts w:asciiTheme="minorHAnsi" w:hAnsiTheme="minorHAnsi" w:cstheme="minorHAnsi"/>
                <w:sz w:val="18"/>
                <w:szCs w:val="18"/>
              </w:rPr>
            </w:pPr>
          </w:p>
        </w:tc>
        <w:tc>
          <w:tcPr>
            <w:tcW w:w="528" w:type="pct"/>
            <w:shd w:val="clear" w:color="auto" w:fill="auto"/>
            <w:vAlign w:val="center"/>
          </w:tcPr>
          <w:p w:rsidR="004A3EB2" w:rsidRPr="00C91DCD" w:rsidRDefault="004A3EB2" w:rsidP="00C56A50">
            <w:pPr>
              <w:spacing w:before="10" w:after="10"/>
              <w:jc w:val="center"/>
              <w:rPr>
                <w:rFonts w:asciiTheme="minorHAnsi" w:hAnsiTheme="minorHAnsi" w:cstheme="minorHAnsi"/>
                <w:sz w:val="18"/>
                <w:szCs w:val="18"/>
              </w:rPr>
            </w:pPr>
          </w:p>
        </w:tc>
        <w:tc>
          <w:tcPr>
            <w:tcW w:w="603" w:type="pct"/>
            <w:shd w:val="clear" w:color="auto" w:fill="auto"/>
            <w:vAlign w:val="center"/>
          </w:tcPr>
          <w:p w:rsidR="004A3EB2" w:rsidRPr="00C91DCD" w:rsidRDefault="004A3EB2" w:rsidP="000E1064">
            <w:pPr>
              <w:spacing w:before="20" w:after="20"/>
              <w:ind w:left="69"/>
              <w:jc w:val="center"/>
              <w:rPr>
                <w:rFonts w:asciiTheme="minorHAnsi" w:hAnsiTheme="minorHAnsi" w:cstheme="minorHAnsi"/>
                <w:sz w:val="18"/>
                <w:szCs w:val="18"/>
              </w:rPr>
            </w:pPr>
          </w:p>
        </w:tc>
      </w:tr>
      <w:tr w:rsidR="004A3EB2" w:rsidRPr="00C91DCD" w:rsidTr="004A3EB2">
        <w:trPr>
          <w:trHeight w:val="193"/>
          <w:jc w:val="center"/>
        </w:trPr>
        <w:tc>
          <w:tcPr>
            <w:tcW w:w="288" w:type="pct"/>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18428</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dutasteride (Avodart®) 0.5 mg cap</w:t>
            </w:r>
          </w:p>
        </w:tc>
        <w:tc>
          <w:tcPr>
            <w:tcW w:w="263"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5"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1"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9"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color w:val="000000"/>
                <w:sz w:val="18"/>
                <w:szCs w:val="18"/>
              </w:rPr>
            </w:pPr>
          </w:p>
        </w:tc>
        <w:tc>
          <w:tcPr>
            <w:tcW w:w="304" w:type="pct"/>
            <w:vAlign w:val="center"/>
          </w:tcPr>
          <w:p w:rsidR="004A3EB2" w:rsidRPr="00C91DCD" w:rsidRDefault="004A3EB2" w:rsidP="009D1C08">
            <w:pPr>
              <w:spacing w:before="20" w:after="20"/>
              <w:ind w:left="69"/>
              <w:jc w:val="center"/>
              <w:rPr>
                <w:rFonts w:asciiTheme="minorHAnsi" w:hAnsiTheme="minorHAnsi" w:cstheme="minorHAnsi"/>
                <w:sz w:val="18"/>
                <w:szCs w:val="18"/>
              </w:rPr>
            </w:pPr>
          </w:p>
        </w:tc>
        <w:tc>
          <w:tcPr>
            <w:tcW w:w="477" w:type="pct"/>
            <w:vAlign w:val="center"/>
          </w:tcPr>
          <w:p w:rsidR="004A3EB2" w:rsidRPr="00C91DCD" w:rsidRDefault="004A3EB2" w:rsidP="009D1C08">
            <w:pPr>
              <w:spacing w:before="20" w:after="20"/>
              <w:ind w:left="69"/>
              <w:jc w:val="center"/>
              <w:rPr>
                <w:rFonts w:asciiTheme="minorHAnsi" w:hAnsiTheme="minorHAnsi" w:cstheme="minorHAnsi"/>
                <w:sz w:val="18"/>
                <w:szCs w:val="18"/>
              </w:rPr>
            </w:pPr>
          </w:p>
        </w:tc>
        <w:tc>
          <w:tcPr>
            <w:tcW w:w="528" w:type="pct"/>
            <w:shd w:val="clear" w:color="auto" w:fill="auto"/>
            <w:vAlign w:val="center"/>
          </w:tcPr>
          <w:p w:rsidR="004A3EB2" w:rsidRPr="00C91DCD" w:rsidRDefault="004A3EB2" w:rsidP="00C56A50">
            <w:pPr>
              <w:spacing w:before="10" w:after="10"/>
              <w:jc w:val="center"/>
              <w:rPr>
                <w:rFonts w:asciiTheme="minorHAnsi" w:hAnsiTheme="minorHAnsi" w:cstheme="minorHAnsi"/>
                <w:sz w:val="18"/>
                <w:szCs w:val="18"/>
              </w:rPr>
            </w:pPr>
          </w:p>
        </w:tc>
        <w:tc>
          <w:tcPr>
            <w:tcW w:w="603" w:type="pct"/>
            <w:shd w:val="clear" w:color="auto" w:fill="auto"/>
            <w:vAlign w:val="center"/>
          </w:tcPr>
          <w:p w:rsidR="004A3EB2" w:rsidRPr="00C91DCD" w:rsidRDefault="004A3EB2" w:rsidP="000E1064">
            <w:pPr>
              <w:spacing w:before="20" w:after="20"/>
              <w:ind w:left="69"/>
              <w:jc w:val="center"/>
              <w:rPr>
                <w:rFonts w:asciiTheme="minorHAnsi" w:hAnsiTheme="minorHAnsi" w:cstheme="minorHAnsi"/>
                <w:sz w:val="18"/>
                <w:szCs w:val="18"/>
              </w:rPr>
            </w:pPr>
          </w:p>
        </w:tc>
      </w:tr>
      <w:tr w:rsidR="004A3EB2" w:rsidRPr="00C91DCD" w:rsidTr="004A3EB2">
        <w:trPr>
          <w:trHeight w:val="193"/>
          <w:jc w:val="center"/>
        </w:trPr>
        <w:tc>
          <w:tcPr>
            <w:tcW w:w="288" w:type="pct"/>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99409</w:t>
            </w:r>
          </w:p>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20736</w:t>
            </w:r>
          </w:p>
        </w:tc>
        <w:tc>
          <w:tcPr>
            <w:tcW w:w="880" w:type="pct"/>
            <w:shd w:val="clear" w:color="auto" w:fill="auto"/>
            <w:vAlign w:val="center"/>
          </w:tcPr>
          <w:p w:rsidR="004A3EB2" w:rsidRPr="00C91DCD" w:rsidRDefault="004A3EB2" w:rsidP="00C56A50">
            <w:pPr>
              <w:rPr>
                <w:rFonts w:asciiTheme="minorHAnsi" w:hAnsiTheme="minorHAnsi" w:cstheme="minorHAnsi"/>
                <w:color w:val="000000"/>
                <w:sz w:val="18"/>
                <w:szCs w:val="18"/>
              </w:rPr>
            </w:pPr>
            <w:r w:rsidRPr="00C91DCD">
              <w:rPr>
                <w:rFonts w:asciiTheme="minorHAnsi" w:hAnsiTheme="minorHAnsi" w:cstheme="minorHAnsi"/>
                <w:color w:val="000000"/>
                <w:sz w:val="18"/>
                <w:szCs w:val="18"/>
              </w:rPr>
              <w:t xml:space="preserve">Cialis® (tadalafil) 2.5, 5 mg </w:t>
            </w:r>
          </w:p>
        </w:tc>
        <w:tc>
          <w:tcPr>
            <w:tcW w:w="263"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5"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1"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379" w:type="pct"/>
            <w:shd w:val="clear" w:color="auto" w:fill="auto"/>
            <w:vAlign w:val="center"/>
          </w:tcPr>
          <w:p w:rsidR="004A3EB2" w:rsidRPr="00C91DCD" w:rsidRDefault="004A3EB2" w:rsidP="009346F5">
            <w:pPr>
              <w:jc w:val="right"/>
              <w:rPr>
                <w:rFonts w:asciiTheme="minorHAnsi" w:hAnsiTheme="minorHAnsi" w:cstheme="minorHAnsi"/>
                <w:color w:val="000000"/>
                <w:sz w:val="18"/>
                <w:szCs w:val="18"/>
              </w:rPr>
            </w:pPr>
          </w:p>
        </w:tc>
        <w:tc>
          <w:tcPr>
            <w:tcW w:w="450" w:type="pct"/>
            <w:shd w:val="clear" w:color="auto" w:fill="auto"/>
            <w:vAlign w:val="center"/>
          </w:tcPr>
          <w:p w:rsidR="004A3EB2" w:rsidRPr="00C91DCD" w:rsidRDefault="004A3EB2" w:rsidP="00101EE7">
            <w:pPr>
              <w:jc w:val="right"/>
              <w:rPr>
                <w:rFonts w:asciiTheme="minorHAnsi" w:hAnsiTheme="minorHAnsi" w:cstheme="minorHAnsi"/>
                <w:color w:val="000000"/>
                <w:sz w:val="18"/>
                <w:szCs w:val="18"/>
              </w:rPr>
            </w:pPr>
          </w:p>
        </w:tc>
        <w:tc>
          <w:tcPr>
            <w:tcW w:w="304" w:type="pct"/>
            <w:vAlign w:val="center"/>
          </w:tcPr>
          <w:p w:rsidR="004A3EB2" w:rsidRPr="00C91DCD" w:rsidRDefault="004A3EB2" w:rsidP="009D1C08">
            <w:pPr>
              <w:spacing w:before="20" w:after="20"/>
              <w:ind w:left="69"/>
              <w:jc w:val="center"/>
              <w:rPr>
                <w:rFonts w:asciiTheme="minorHAnsi" w:hAnsiTheme="minorHAnsi" w:cstheme="minorHAnsi"/>
                <w:sz w:val="18"/>
                <w:szCs w:val="18"/>
              </w:rPr>
            </w:pPr>
          </w:p>
        </w:tc>
        <w:tc>
          <w:tcPr>
            <w:tcW w:w="477" w:type="pct"/>
            <w:vAlign w:val="center"/>
          </w:tcPr>
          <w:p w:rsidR="004A3EB2" w:rsidRPr="00C91DCD" w:rsidRDefault="004A3EB2" w:rsidP="009D1C08">
            <w:pPr>
              <w:spacing w:before="20" w:after="20"/>
              <w:ind w:left="69"/>
              <w:jc w:val="center"/>
              <w:rPr>
                <w:rFonts w:asciiTheme="minorHAnsi" w:hAnsiTheme="minorHAnsi" w:cstheme="minorHAnsi"/>
                <w:sz w:val="18"/>
                <w:szCs w:val="18"/>
              </w:rPr>
            </w:pPr>
          </w:p>
        </w:tc>
        <w:tc>
          <w:tcPr>
            <w:tcW w:w="528" w:type="pct"/>
            <w:shd w:val="clear" w:color="auto" w:fill="auto"/>
            <w:vAlign w:val="center"/>
          </w:tcPr>
          <w:p w:rsidR="004A3EB2" w:rsidRPr="00C91DCD" w:rsidRDefault="004A3EB2" w:rsidP="00C56A50">
            <w:pPr>
              <w:spacing w:before="10" w:after="10"/>
              <w:jc w:val="center"/>
              <w:rPr>
                <w:rFonts w:asciiTheme="minorHAnsi" w:hAnsiTheme="minorHAnsi" w:cstheme="minorHAnsi"/>
                <w:sz w:val="18"/>
                <w:szCs w:val="18"/>
              </w:rPr>
            </w:pPr>
          </w:p>
        </w:tc>
        <w:tc>
          <w:tcPr>
            <w:tcW w:w="603" w:type="pct"/>
            <w:shd w:val="clear" w:color="auto" w:fill="auto"/>
            <w:vAlign w:val="center"/>
          </w:tcPr>
          <w:p w:rsidR="004A3EB2" w:rsidRPr="000B7F60" w:rsidRDefault="004A3EB2" w:rsidP="0077735B">
            <w:pPr>
              <w:jc w:val="center"/>
              <w:rPr>
                <w:rFonts w:asciiTheme="minorHAnsi" w:hAnsiTheme="minorHAnsi" w:cstheme="minorHAnsi"/>
                <w:sz w:val="18"/>
                <w:szCs w:val="18"/>
              </w:rPr>
            </w:pPr>
          </w:p>
        </w:tc>
      </w:tr>
      <w:tr w:rsidR="004A3EB2" w:rsidRPr="00C91DCD" w:rsidTr="004A3EB2">
        <w:trPr>
          <w:trHeight w:val="193"/>
          <w:jc w:val="center"/>
        </w:trPr>
        <w:tc>
          <w:tcPr>
            <w:tcW w:w="1169" w:type="pct"/>
            <w:gridSpan w:val="2"/>
          </w:tcPr>
          <w:p w:rsidR="004A3EB2" w:rsidRPr="009D1C08" w:rsidRDefault="004A3EB2" w:rsidP="00C56A50">
            <w:pPr>
              <w:rPr>
                <w:rFonts w:asciiTheme="minorHAnsi" w:hAnsiTheme="minorHAnsi" w:cstheme="minorHAnsi"/>
                <w:b/>
                <w:color w:val="000000"/>
                <w:sz w:val="18"/>
                <w:szCs w:val="18"/>
              </w:rPr>
            </w:pPr>
            <w:r w:rsidRPr="009D1C08">
              <w:rPr>
                <w:rFonts w:asciiTheme="minorHAnsi" w:hAnsiTheme="minorHAnsi" w:cstheme="minorHAnsi"/>
                <w:b/>
                <w:color w:val="000000"/>
                <w:sz w:val="18"/>
                <w:szCs w:val="18"/>
              </w:rPr>
              <w:t>TOTAL</w:t>
            </w:r>
          </w:p>
        </w:tc>
        <w:tc>
          <w:tcPr>
            <w:tcW w:w="263" w:type="pct"/>
            <w:shd w:val="clear" w:color="auto" w:fill="auto"/>
            <w:vAlign w:val="center"/>
          </w:tcPr>
          <w:p w:rsidR="004A3EB2" w:rsidRPr="009D1C08" w:rsidRDefault="004A3EB2" w:rsidP="009346F5">
            <w:pPr>
              <w:jc w:val="right"/>
              <w:rPr>
                <w:rFonts w:asciiTheme="minorHAnsi" w:hAnsiTheme="minorHAnsi" w:cstheme="minorHAnsi"/>
                <w:b/>
                <w:color w:val="000000"/>
                <w:sz w:val="18"/>
                <w:szCs w:val="18"/>
              </w:rPr>
            </w:pPr>
          </w:p>
        </w:tc>
        <w:tc>
          <w:tcPr>
            <w:tcW w:w="375" w:type="pct"/>
            <w:shd w:val="clear" w:color="auto" w:fill="auto"/>
            <w:vAlign w:val="center"/>
          </w:tcPr>
          <w:p w:rsidR="004A3EB2" w:rsidRPr="009D1C08" w:rsidRDefault="004A3EB2" w:rsidP="009346F5">
            <w:pPr>
              <w:jc w:val="right"/>
              <w:rPr>
                <w:rFonts w:asciiTheme="minorHAnsi" w:hAnsiTheme="minorHAnsi" w:cstheme="minorHAnsi"/>
                <w:b/>
                <w:color w:val="000000"/>
                <w:sz w:val="18"/>
                <w:szCs w:val="18"/>
              </w:rPr>
            </w:pPr>
          </w:p>
        </w:tc>
        <w:tc>
          <w:tcPr>
            <w:tcW w:w="451" w:type="pct"/>
            <w:shd w:val="clear" w:color="auto" w:fill="auto"/>
            <w:vAlign w:val="center"/>
          </w:tcPr>
          <w:p w:rsidR="004A3EB2" w:rsidRPr="009D1C08" w:rsidRDefault="004A3EB2" w:rsidP="009346F5">
            <w:pPr>
              <w:jc w:val="right"/>
              <w:rPr>
                <w:rFonts w:asciiTheme="minorHAnsi" w:hAnsiTheme="minorHAnsi" w:cstheme="minorHAnsi"/>
                <w:b/>
                <w:color w:val="000000"/>
                <w:sz w:val="18"/>
                <w:szCs w:val="18"/>
              </w:rPr>
            </w:pPr>
          </w:p>
        </w:tc>
        <w:tc>
          <w:tcPr>
            <w:tcW w:w="379" w:type="pct"/>
            <w:shd w:val="clear" w:color="auto" w:fill="auto"/>
            <w:vAlign w:val="center"/>
          </w:tcPr>
          <w:p w:rsidR="004A3EB2" w:rsidRPr="009D1C08" w:rsidRDefault="004A3EB2" w:rsidP="009346F5">
            <w:pPr>
              <w:jc w:val="right"/>
              <w:rPr>
                <w:rFonts w:asciiTheme="minorHAnsi" w:hAnsiTheme="minorHAnsi" w:cstheme="minorHAnsi"/>
                <w:b/>
                <w:color w:val="000000"/>
                <w:sz w:val="18"/>
                <w:szCs w:val="18"/>
              </w:rPr>
            </w:pPr>
          </w:p>
        </w:tc>
        <w:tc>
          <w:tcPr>
            <w:tcW w:w="450" w:type="pct"/>
            <w:shd w:val="clear" w:color="auto" w:fill="auto"/>
            <w:vAlign w:val="center"/>
          </w:tcPr>
          <w:p w:rsidR="004A3EB2" w:rsidRPr="009D1C08" w:rsidRDefault="004A3EB2" w:rsidP="004A3EB2">
            <w:pPr>
              <w:jc w:val="center"/>
              <w:rPr>
                <w:rFonts w:asciiTheme="minorHAnsi" w:hAnsiTheme="minorHAnsi" w:cstheme="minorHAnsi"/>
                <w:b/>
                <w:color w:val="000000"/>
                <w:sz w:val="18"/>
                <w:szCs w:val="18"/>
              </w:rPr>
            </w:pPr>
          </w:p>
        </w:tc>
        <w:tc>
          <w:tcPr>
            <w:tcW w:w="304" w:type="pct"/>
            <w:vAlign w:val="center"/>
          </w:tcPr>
          <w:p w:rsidR="004A3EB2" w:rsidRPr="009D1C08" w:rsidRDefault="004A3EB2" w:rsidP="009D1C08">
            <w:pPr>
              <w:spacing w:before="20" w:after="20"/>
              <w:ind w:left="69"/>
              <w:jc w:val="center"/>
              <w:rPr>
                <w:rFonts w:asciiTheme="minorHAnsi" w:hAnsiTheme="minorHAnsi" w:cstheme="minorHAnsi"/>
                <w:b/>
                <w:sz w:val="18"/>
                <w:szCs w:val="18"/>
              </w:rPr>
            </w:pPr>
          </w:p>
        </w:tc>
        <w:tc>
          <w:tcPr>
            <w:tcW w:w="477" w:type="pct"/>
            <w:vAlign w:val="center"/>
          </w:tcPr>
          <w:p w:rsidR="004A3EB2" w:rsidRPr="009D1C08" w:rsidRDefault="004A3EB2" w:rsidP="009D1C08">
            <w:pPr>
              <w:spacing w:before="20" w:after="20"/>
              <w:ind w:left="69"/>
              <w:jc w:val="center"/>
              <w:rPr>
                <w:rFonts w:asciiTheme="minorHAnsi" w:hAnsiTheme="minorHAnsi" w:cstheme="minorHAnsi"/>
                <w:b/>
                <w:sz w:val="18"/>
                <w:szCs w:val="18"/>
              </w:rPr>
            </w:pPr>
          </w:p>
        </w:tc>
        <w:tc>
          <w:tcPr>
            <w:tcW w:w="528" w:type="pct"/>
            <w:shd w:val="clear" w:color="auto" w:fill="auto"/>
            <w:vAlign w:val="center"/>
          </w:tcPr>
          <w:p w:rsidR="004A3EB2" w:rsidRPr="00C91DCD" w:rsidRDefault="004A3EB2" w:rsidP="00C56A50">
            <w:pPr>
              <w:spacing w:before="10" w:after="10"/>
              <w:jc w:val="center"/>
              <w:rPr>
                <w:rFonts w:asciiTheme="minorHAnsi" w:hAnsiTheme="minorHAnsi" w:cstheme="minorHAnsi"/>
                <w:sz w:val="18"/>
                <w:szCs w:val="18"/>
              </w:rPr>
            </w:pPr>
          </w:p>
        </w:tc>
        <w:tc>
          <w:tcPr>
            <w:tcW w:w="603" w:type="pct"/>
            <w:shd w:val="clear" w:color="auto" w:fill="auto"/>
            <w:vAlign w:val="center"/>
          </w:tcPr>
          <w:p w:rsidR="004A3EB2" w:rsidRPr="00C91DCD" w:rsidRDefault="004A3EB2" w:rsidP="009346F5">
            <w:pPr>
              <w:spacing w:before="20" w:after="20"/>
              <w:ind w:left="69"/>
              <w:rPr>
                <w:rFonts w:asciiTheme="minorHAnsi" w:hAnsiTheme="minorHAnsi" w:cstheme="minorHAnsi"/>
                <w:sz w:val="18"/>
                <w:szCs w:val="18"/>
              </w:rPr>
            </w:pPr>
          </w:p>
        </w:tc>
      </w:tr>
    </w:tbl>
    <w:p w:rsidR="001F4934" w:rsidRPr="00031F67" w:rsidRDefault="001F4934" w:rsidP="00646584">
      <w:pPr>
        <w:rPr>
          <w:rFonts w:asciiTheme="minorHAnsi" w:hAnsiTheme="minorHAnsi" w:cstheme="minorHAnsi"/>
          <w:sz w:val="18"/>
          <w:szCs w:val="22"/>
        </w:rPr>
      </w:pPr>
      <w:r w:rsidRPr="00031F67">
        <w:rPr>
          <w:rFonts w:asciiTheme="minorHAnsi" w:hAnsiTheme="minorHAnsi" w:cstheme="minorHAnsi"/>
          <w:sz w:val="18"/>
          <w:szCs w:val="22"/>
        </w:rPr>
        <w:t>^Brand drug</w:t>
      </w:r>
      <w:r w:rsidR="00957535" w:rsidRPr="00031F67">
        <w:rPr>
          <w:rFonts w:asciiTheme="minorHAnsi" w:hAnsiTheme="minorHAnsi" w:cstheme="minorHAnsi"/>
          <w:sz w:val="18"/>
          <w:szCs w:val="22"/>
        </w:rPr>
        <w:t xml:space="preserve"> pricing</w:t>
      </w:r>
      <w:r w:rsidRPr="00031F67">
        <w:rPr>
          <w:rFonts w:asciiTheme="minorHAnsi" w:hAnsiTheme="minorHAnsi" w:cstheme="minorHAnsi"/>
          <w:sz w:val="18"/>
          <w:szCs w:val="22"/>
        </w:rPr>
        <w:t xml:space="preserve"> is based on wholesale acquisition cost (WAC) and generic drug pricing is based on maximum allowable cost (MAC) </w:t>
      </w:r>
      <w:r w:rsidR="00957535" w:rsidRPr="00031F67">
        <w:rPr>
          <w:rFonts w:asciiTheme="minorHAnsi" w:hAnsiTheme="minorHAnsi" w:cstheme="minorHAnsi"/>
          <w:sz w:val="18"/>
          <w:szCs w:val="22"/>
        </w:rPr>
        <w:t xml:space="preserve">for 1 month supply </w:t>
      </w:r>
      <w:r w:rsidRPr="00031F67">
        <w:rPr>
          <w:rFonts w:asciiTheme="minorHAnsi" w:hAnsiTheme="minorHAnsi" w:cstheme="minorHAnsi"/>
          <w:sz w:val="18"/>
          <w:szCs w:val="22"/>
        </w:rPr>
        <w:t>unless otherwise noted.</w:t>
      </w:r>
    </w:p>
    <w:p w:rsidR="00D11527" w:rsidRPr="00031F67" w:rsidRDefault="00D11527" w:rsidP="00646584">
      <w:pPr>
        <w:rPr>
          <w:rFonts w:asciiTheme="minorHAnsi" w:hAnsiTheme="minorHAnsi" w:cstheme="minorHAnsi"/>
          <w:sz w:val="18"/>
          <w:szCs w:val="22"/>
        </w:rPr>
      </w:pPr>
      <w:r w:rsidRPr="00031F67">
        <w:rPr>
          <w:rFonts w:asciiTheme="minorHAnsi" w:hAnsiTheme="minorHAnsi" w:cstheme="minorHAnsi"/>
          <w:sz w:val="18"/>
          <w:szCs w:val="22"/>
        </w:rPr>
        <w:t>*Preferred pricing listed</w:t>
      </w:r>
    </w:p>
    <w:p w:rsidR="00646584" w:rsidRPr="00031F67" w:rsidRDefault="00646584" w:rsidP="00646584">
      <w:pPr>
        <w:rPr>
          <w:rFonts w:asciiTheme="minorHAnsi" w:hAnsiTheme="minorHAnsi" w:cstheme="minorHAnsi"/>
          <w:sz w:val="18"/>
          <w:szCs w:val="22"/>
        </w:rPr>
      </w:pPr>
      <w:r w:rsidRPr="00031F67">
        <w:rPr>
          <w:rFonts w:asciiTheme="minorHAnsi" w:hAnsiTheme="minorHAnsi" w:cstheme="minorHAnsi"/>
          <w:sz w:val="18"/>
          <w:szCs w:val="22"/>
        </w:rPr>
        <w:t xml:space="preserve">Key (as applicable) F = Formulary, no restrictions ; F-QL = Formulary, quantity limit applies ; F-AL = Formulary, age limit applies; F-ST = Formulary, step therapy applies ; F-PA = Formulary, PA required ; NF = Non-formulary ; X = Excluded </w:t>
      </w:r>
    </w:p>
    <w:p w:rsidR="004C3D6A" w:rsidRPr="004C3D6A" w:rsidRDefault="004C3D6A" w:rsidP="00DE1C9B">
      <w:pPr>
        <w:rPr>
          <w:rFonts w:asciiTheme="minorHAnsi" w:hAnsiTheme="minorHAnsi" w:cstheme="minorHAnsi"/>
          <w:sz w:val="18"/>
          <w:szCs w:val="22"/>
        </w:rPr>
        <w:sectPr w:rsidR="004C3D6A" w:rsidRPr="004C3D6A" w:rsidSect="001F4934">
          <w:pgSz w:w="15840" w:h="12240" w:orient="landscape"/>
          <w:pgMar w:top="720" w:right="720" w:bottom="720" w:left="720" w:header="720" w:footer="720" w:gutter="0"/>
          <w:cols w:space="720"/>
          <w:docGrid w:linePitch="360"/>
        </w:sectPr>
      </w:pPr>
      <w:r w:rsidRPr="004C3D6A">
        <w:rPr>
          <w:rFonts w:asciiTheme="minorHAnsi" w:hAnsiTheme="minorHAnsi" w:cstheme="minorHAnsi"/>
          <w:sz w:val="18"/>
          <w:szCs w:val="22"/>
        </w:rPr>
        <w:t>¥ = Members under 21 years are limited to a 14 day supply</w:t>
      </w:r>
    </w:p>
    <w:p w:rsidR="00245251" w:rsidRPr="00031F67" w:rsidRDefault="00245251" w:rsidP="00245251">
      <w:pPr>
        <w:pBdr>
          <w:bottom w:val="single" w:sz="4" w:space="1" w:color="auto"/>
        </w:pBdr>
        <w:rPr>
          <w:rFonts w:asciiTheme="minorHAnsi" w:hAnsiTheme="minorHAnsi" w:cstheme="minorHAnsi"/>
          <w:b/>
          <w:sz w:val="22"/>
          <w:szCs w:val="22"/>
        </w:rPr>
      </w:pPr>
      <w:r w:rsidRPr="00031F67">
        <w:rPr>
          <w:rFonts w:asciiTheme="minorHAnsi" w:hAnsiTheme="minorHAnsi" w:cstheme="minorHAnsi"/>
          <w:b/>
          <w:sz w:val="22"/>
          <w:szCs w:val="22"/>
        </w:rPr>
        <w:lastRenderedPageBreak/>
        <w:t>PRIOR AUTHORIZATION CRITERIA</w:t>
      </w:r>
    </w:p>
    <w:p w:rsidR="00245251" w:rsidRPr="00AC3466" w:rsidRDefault="00AC3466" w:rsidP="00245251">
      <w:pPr>
        <w:rPr>
          <w:rFonts w:asciiTheme="minorHAnsi" w:hAnsiTheme="minorHAnsi" w:cstheme="minorHAnsi"/>
          <w:sz w:val="22"/>
          <w:szCs w:val="22"/>
        </w:rPr>
      </w:pPr>
      <w:r>
        <w:rPr>
          <w:rFonts w:asciiTheme="minorHAnsi" w:hAnsiTheme="minorHAnsi" w:cstheme="minorHAnsi"/>
          <w:sz w:val="22"/>
          <w:szCs w:val="22"/>
        </w:rPr>
        <w:t>Plan Specific</w:t>
      </w:r>
    </w:p>
    <w:p w:rsidR="004C3D6A" w:rsidRPr="00031F67" w:rsidRDefault="004C3D6A" w:rsidP="00245251">
      <w:pPr>
        <w:rPr>
          <w:rFonts w:asciiTheme="minorHAnsi" w:hAnsiTheme="minorHAnsi" w:cstheme="minorHAnsi"/>
          <w:i/>
          <w:sz w:val="22"/>
          <w:szCs w:val="22"/>
        </w:rPr>
      </w:pPr>
    </w:p>
    <w:p w:rsidR="004808D1" w:rsidRPr="00031F67" w:rsidRDefault="00C6715B" w:rsidP="00600EB0">
      <w:pPr>
        <w:pBdr>
          <w:bottom w:val="single" w:sz="4" w:space="1" w:color="auto"/>
        </w:pBdr>
        <w:rPr>
          <w:rFonts w:asciiTheme="minorHAnsi" w:hAnsiTheme="minorHAnsi" w:cstheme="minorHAnsi"/>
          <w:b/>
          <w:sz w:val="22"/>
          <w:szCs w:val="22"/>
        </w:rPr>
      </w:pPr>
      <w:r w:rsidRPr="00031F67">
        <w:rPr>
          <w:rFonts w:asciiTheme="minorHAnsi" w:hAnsiTheme="minorHAnsi" w:cstheme="minorHAnsi"/>
          <w:b/>
          <w:sz w:val="22"/>
          <w:szCs w:val="22"/>
        </w:rPr>
        <w:t>R</w:t>
      </w:r>
      <w:r w:rsidR="00B37666" w:rsidRPr="00031F67">
        <w:rPr>
          <w:rFonts w:asciiTheme="minorHAnsi" w:hAnsiTheme="minorHAnsi" w:cstheme="minorHAnsi"/>
          <w:b/>
          <w:sz w:val="22"/>
          <w:szCs w:val="22"/>
        </w:rPr>
        <w:t>EFERENCES</w:t>
      </w:r>
    </w:p>
    <w:p w:rsidR="00EE5192" w:rsidRPr="00A7620F" w:rsidRDefault="00116A02" w:rsidP="00116A02">
      <w:pPr>
        <w:pStyle w:val="ListParagraph"/>
        <w:numPr>
          <w:ilvl w:val="0"/>
          <w:numId w:val="12"/>
        </w:numPr>
        <w:rPr>
          <w:rFonts w:ascii="Calibri" w:hAnsi="Calibri" w:cs="Calibri"/>
          <w:sz w:val="18"/>
          <w:szCs w:val="18"/>
        </w:rPr>
      </w:pPr>
      <w:r>
        <w:rPr>
          <w:rFonts w:ascii="Calibri" w:hAnsi="Calibri" w:cs="Calibri"/>
          <w:sz w:val="18"/>
          <w:szCs w:val="18"/>
        </w:rPr>
        <w:t xml:space="preserve">McVary KT, et al. </w:t>
      </w:r>
      <w:r w:rsidRPr="00116A02">
        <w:rPr>
          <w:rFonts w:ascii="Calibri" w:hAnsi="Calibri" w:cs="Calibri"/>
          <w:sz w:val="18"/>
          <w:szCs w:val="18"/>
        </w:rPr>
        <w:t xml:space="preserve">American Urological Association Guideline: Management of Benign Prostatic Hyperplasia (2010; Reviewed and Validity Confirmed 2014). American Urological Association. 2010. </w:t>
      </w:r>
      <w:r>
        <w:rPr>
          <w:rFonts w:ascii="Calibri" w:hAnsi="Calibri" w:cs="Calibri"/>
          <w:sz w:val="18"/>
          <w:szCs w:val="18"/>
        </w:rPr>
        <w:t xml:space="preserve"> Available at: </w:t>
      </w:r>
      <w:hyperlink r:id="rId13" w:history="1">
        <w:r w:rsidRPr="00586F13">
          <w:rPr>
            <w:rStyle w:val="Hyperlink"/>
            <w:rFonts w:ascii="Calibri" w:hAnsi="Calibri" w:cs="Calibri"/>
            <w:sz w:val="18"/>
            <w:szCs w:val="18"/>
          </w:rPr>
          <w:t>http://www.auanet.org/guidelines/benign-prostatic-hyperplasia-(2010-reviewed-and-validity-confirmed-2014)</w:t>
        </w:r>
      </w:hyperlink>
      <w:r>
        <w:rPr>
          <w:rFonts w:ascii="Calibri" w:hAnsi="Calibri" w:cs="Calibri"/>
          <w:sz w:val="18"/>
          <w:szCs w:val="18"/>
        </w:rPr>
        <w:t xml:space="preserve"> </w:t>
      </w:r>
      <w:r w:rsidR="00A7620F" w:rsidRPr="00A7620F">
        <w:rPr>
          <w:rFonts w:ascii="Calibri" w:hAnsi="Calibri" w:cs="Calibri"/>
          <w:sz w:val="18"/>
          <w:szCs w:val="18"/>
        </w:rPr>
        <w:t xml:space="preserve"> </w:t>
      </w:r>
    </w:p>
    <w:sectPr w:rsidR="00EE5192" w:rsidRPr="00A7620F" w:rsidSect="00DE1C9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EE7" w:rsidRDefault="00101EE7">
      <w:r>
        <w:separator/>
      </w:r>
    </w:p>
  </w:endnote>
  <w:endnote w:type="continuationSeparator" w:id="0">
    <w:p w:rsidR="00101EE7" w:rsidRDefault="00101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KORKMM+Frutiger-LightCn">
    <w:altName w:val="Frutig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EE7" w:rsidRDefault="00101E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1EE7" w:rsidRDefault="00101E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EE7" w:rsidRDefault="00101EE7">
    <w:pPr>
      <w:pStyle w:val="Footer"/>
      <w:jc w:val="right"/>
    </w:pPr>
    <w:r>
      <w:fldChar w:fldCharType="begin"/>
    </w:r>
    <w:r>
      <w:instrText xml:space="preserve"> PAGE   \* MERGEFORMAT </w:instrText>
    </w:r>
    <w:r>
      <w:fldChar w:fldCharType="separate"/>
    </w:r>
    <w:r w:rsidR="0082614F">
      <w:rPr>
        <w:noProof/>
      </w:rPr>
      <w:t>1</w:t>
    </w:r>
    <w:r>
      <w:rPr>
        <w:noProof/>
      </w:rPr>
      <w:fldChar w:fldCharType="end"/>
    </w:r>
  </w:p>
  <w:p w:rsidR="00101EE7" w:rsidRDefault="00101EE7" w:rsidP="00E57D60">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EE7" w:rsidRDefault="00101EE7">
      <w:r>
        <w:separator/>
      </w:r>
    </w:p>
  </w:footnote>
  <w:footnote w:type="continuationSeparator" w:id="0">
    <w:p w:rsidR="00101EE7" w:rsidRDefault="00101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EE7" w:rsidRDefault="00101EE7">
    <w:pPr>
      <w:pStyle w:val="Header"/>
      <w:jc w:val="right"/>
      <w:rPr>
        <w:sz w:val="18"/>
        <w:szCs w:val="18"/>
      </w:rPr>
    </w:pPr>
  </w:p>
  <w:p w:rsidR="00101EE7" w:rsidRDefault="00101EE7">
    <w:pPr>
      <w:pStyle w:val="Header"/>
      <w:jc w:val="righ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1D1E"/>
    <w:multiLevelType w:val="hybridMultilevel"/>
    <w:tmpl w:val="9AF2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07BC1"/>
    <w:multiLevelType w:val="hybridMultilevel"/>
    <w:tmpl w:val="379A6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377FB"/>
    <w:multiLevelType w:val="hybridMultilevel"/>
    <w:tmpl w:val="35069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059B8"/>
    <w:multiLevelType w:val="hybridMultilevel"/>
    <w:tmpl w:val="7D32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AB571F"/>
    <w:multiLevelType w:val="hybridMultilevel"/>
    <w:tmpl w:val="051E9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A33E61"/>
    <w:multiLevelType w:val="hybridMultilevel"/>
    <w:tmpl w:val="833C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CA1D03"/>
    <w:multiLevelType w:val="hybridMultilevel"/>
    <w:tmpl w:val="CCE8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1F6F04"/>
    <w:multiLevelType w:val="hybridMultilevel"/>
    <w:tmpl w:val="60786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A755E9"/>
    <w:multiLevelType w:val="hybridMultilevel"/>
    <w:tmpl w:val="2566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4E3D5A"/>
    <w:multiLevelType w:val="hybridMultilevel"/>
    <w:tmpl w:val="6C4E74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AC24D62"/>
    <w:multiLevelType w:val="hybridMultilevel"/>
    <w:tmpl w:val="9978FE9A"/>
    <w:lvl w:ilvl="0" w:tplc="879C00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12BAA"/>
    <w:multiLevelType w:val="hybridMultilevel"/>
    <w:tmpl w:val="64D0D626"/>
    <w:lvl w:ilvl="0" w:tplc="50AE99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A75654"/>
    <w:multiLevelType w:val="hybridMultilevel"/>
    <w:tmpl w:val="45B6B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127B73"/>
    <w:multiLevelType w:val="hybridMultilevel"/>
    <w:tmpl w:val="8A20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36199"/>
    <w:multiLevelType w:val="hybridMultilevel"/>
    <w:tmpl w:val="124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3B55EB"/>
    <w:multiLevelType w:val="hybridMultilevel"/>
    <w:tmpl w:val="58C27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E64677"/>
    <w:multiLevelType w:val="hybridMultilevel"/>
    <w:tmpl w:val="31FA9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B2799C"/>
    <w:multiLevelType w:val="hybridMultilevel"/>
    <w:tmpl w:val="600E8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7E0469"/>
    <w:multiLevelType w:val="hybridMultilevel"/>
    <w:tmpl w:val="9E523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7E16AD"/>
    <w:multiLevelType w:val="hybridMultilevel"/>
    <w:tmpl w:val="CF882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CC6CD7"/>
    <w:multiLevelType w:val="hybridMultilevel"/>
    <w:tmpl w:val="9C1EC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B225C2"/>
    <w:multiLevelType w:val="hybridMultilevel"/>
    <w:tmpl w:val="7D38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D044D2"/>
    <w:multiLevelType w:val="hybridMultilevel"/>
    <w:tmpl w:val="C936C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4369FF"/>
    <w:multiLevelType w:val="hybridMultilevel"/>
    <w:tmpl w:val="6616C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1C1D06"/>
    <w:multiLevelType w:val="hybridMultilevel"/>
    <w:tmpl w:val="4BBAA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830352"/>
    <w:multiLevelType w:val="hybridMultilevel"/>
    <w:tmpl w:val="0840B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F96716"/>
    <w:multiLevelType w:val="hybridMultilevel"/>
    <w:tmpl w:val="90A82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0C47DB"/>
    <w:multiLevelType w:val="hybridMultilevel"/>
    <w:tmpl w:val="CAB88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74EA5"/>
    <w:multiLevelType w:val="hybridMultilevel"/>
    <w:tmpl w:val="D494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535308"/>
    <w:multiLevelType w:val="hybridMultilevel"/>
    <w:tmpl w:val="6EB20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AC1EE7"/>
    <w:multiLevelType w:val="hybridMultilevel"/>
    <w:tmpl w:val="9000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2506BE"/>
    <w:multiLevelType w:val="hybridMultilevel"/>
    <w:tmpl w:val="380ED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966A0B"/>
    <w:multiLevelType w:val="hybridMultilevel"/>
    <w:tmpl w:val="D008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220398"/>
    <w:multiLevelType w:val="hybridMultilevel"/>
    <w:tmpl w:val="21063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E416DA"/>
    <w:multiLevelType w:val="hybridMultilevel"/>
    <w:tmpl w:val="98440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8E77B61"/>
    <w:multiLevelType w:val="hybridMultilevel"/>
    <w:tmpl w:val="214A6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56087"/>
    <w:multiLevelType w:val="hybridMultilevel"/>
    <w:tmpl w:val="DEBC5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6"/>
  </w:num>
  <w:num w:numId="3">
    <w:abstractNumId w:val="14"/>
  </w:num>
  <w:num w:numId="4">
    <w:abstractNumId w:val="26"/>
  </w:num>
  <w:num w:numId="5">
    <w:abstractNumId w:val="23"/>
  </w:num>
  <w:num w:numId="6">
    <w:abstractNumId w:val="12"/>
  </w:num>
  <w:num w:numId="7">
    <w:abstractNumId w:val="30"/>
  </w:num>
  <w:num w:numId="8">
    <w:abstractNumId w:val="31"/>
  </w:num>
  <w:num w:numId="9">
    <w:abstractNumId w:val="24"/>
  </w:num>
  <w:num w:numId="10">
    <w:abstractNumId w:val="18"/>
  </w:num>
  <w:num w:numId="11">
    <w:abstractNumId w:val="27"/>
  </w:num>
  <w:num w:numId="12">
    <w:abstractNumId w:val="7"/>
  </w:num>
  <w:num w:numId="13">
    <w:abstractNumId w:val="5"/>
  </w:num>
  <w:num w:numId="14">
    <w:abstractNumId w:val="34"/>
  </w:num>
  <w:num w:numId="15">
    <w:abstractNumId w:val="9"/>
  </w:num>
  <w:num w:numId="16">
    <w:abstractNumId w:val="20"/>
  </w:num>
  <w:num w:numId="17">
    <w:abstractNumId w:val="21"/>
  </w:num>
  <w:num w:numId="18">
    <w:abstractNumId w:val="25"/>
  </w:num>
  <w:num w:numId="19">
    <w:abstractNumId w:val="0"/>
  </w:num>
  <w:num w:numId="20">
    <w:abstractNumId w:val="16"/>
  </w:num>
  <w:num w:numId="21">
    <w:abstractNumId w:val="17"/>
  </w:num>
  <w:num w:numId="22">
    <w:abstractNumId w:val="4"/>
  </w:num>
  <w:num w:numId="23">
    <w:abstractNumId w:val="2"/>
  </w:num>
  <w:num w:numId="24">
    <w:abstractNumId w:val="13"/>
  </w:num>
  <w:num w:numId="25">
    <w:abstractNumId w:val="33"/>
  </w:num>
  <w:num w:numId="26">
    <w:abstractNumId w:val="32"/>
  </w:num>
  <w:num w:numId="27">
    <w:abstractNumId w:val="22"/>
  </w:num>
  <w:num w:numId="28">
    <w:abstractNumId w:val="28"/>
  </w:num>
  <w:num w:numId="29">
    <w:abstractNumId w:val="6"/>
  </w:num>
  <w:num w:numId="30">
    <w:abstractNumId w:val="1"/>
  </w:num>
  <w:num w:numId="31">
    <w:abstractNumId w:val="10"/>
  </w:num>
  <w:num w:numId="32">
    <w:abstractNumId w:val="11"/>
  </w:num>
  <w:num w:numId="33">
    <w:abstractNumId w:val="3"/>
  </w:num>
  <w:num w:numId="34">
    <w:abstractNumId w:val="35"/>
  </w:num>
  <w:num w:numId="35">
    <w:abstractNumId w:val="29"/>
  </w:num>
  <w:num w:numId="36">
    <w:abstractNumId w:val="19"/>
  </w:num>
  <w:num w:numId="3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31"/>
    <w:rsid w:val="000015E7"/>
    <w:rsid w:val="0000403B"/>
    <w:rsid w:val="00005C3D"/>
    <w:rsid w:val="00006C8C"/>
    <w:rsid w:val="00006FCB"/>
    <w:rsid w:val="000102B7"/>
    <w:rsid w:val="00013017"/>
    <w:rsid w:val="000156E1"/>
    <w:rsid w:val="000174FB"/>
    <w:rsid w:val="0002061F"/>
    <w:rsid w:val="000214A5"/>
    <w:rsid w:val="0002160F"/>
    <w:rsid w:val="000236B8"/>
    <w:rsid w:val="000241C7"/>
    <w:rsid w:val="00024381"/>
    <w:rsid w:val="00024A1E"/>
    <w:rsid w:val="00026EEE"/>
    <w:rsid w:val="000276DC"/>
    <w:rsid w:val="000311C5"/>
    <w:rsid w:val="00031ED1"/>
    <w:rsid w:val="00031F67"/>
    <w:rsid w:val="0003297B"/>
    <w:rsid w:val="00032D59"/>
    <w:rsid w:val="0003333B"/>
    <w:rsid w:val="00033575"/>
    <w:rsid w:val="000336FF"/>
    <w:rsid w:val="0003769C"/>
    <w:rsid w:val="00037BD3"/>
    <w:rsid w:val="00040A00"/>
    <w:rsid w:val="00040B1B"/>
    <w:rsid w:val="00041134"/>
    <w:rsid w:val="00042D55"/>
    <w:rsid w:val="00043CF9"/>
    <w:rsid w:val="00044097"/>
    <w:rsid w:val="00052ED9"/>
    <w:rsid w:val="000549FE"/>
    <w:rsid w:val="00054FAD"/>
    <w:rsid w:val="00057577"/>
    <w:rsid w:val="00060600"/>
    <w:rsid w:val="00061E93"/>
    <w:rsid w:val="000625AF"/>
    <w:rsid w:val="00062BF0"/>
    <w:rsid w:val="00062CC9"/>
    <w:rsid w:val="000639B5"/>
    <w:rsid w:val="00063C56"/>
    <w:rsid w:val="000643EC"/>
    <w:rsid w:val="00065A99"/>
    <w:rsid w:val="00066CDB"/>
    <w:rsid w:val="00067474"/>
    <w:rsid w:val="00070E20"/>
    <w:rsid w:val="00070F08"/>
    <w:rsid w:val="000720B5"/>
    <w:rsid w:val="00072924"/>
    <w:rsid w:val="00073E01"/>
    <w:rsid w:val="00073E51"/>
    <w:rsid w:val="00074A34"/>
    <w:rsid w:val="000759AC"/>
    <w:rsid w:val="00075FE0"/>
    <w:rsid w:val="000767B0"/>
    <w:rsid w:val="00076930"/>
    <w:rsid w:val="0008221C"/>
    <w:rsid w:val="0008287E"/>
    <w:rsid w:val="000829A5"/>
    <w:rsid w:val="00084EF5"/>
    <w:rsid w:val="0008501A"/>
    <w:rsid w:val="00086312"/>
    <w:rsid w:val="000868D2"/>
    <w:rsid w:val="0008755F"/>
    <w:rsid w:val="00087D1A"/>
    <w:rsid w:val="00087D86"/>
    <w:rsid w:val="000907CA"/>
    <w:rsid w:val="00090D1A"/>
    <w:rsid w:val="00090EDC"/>
    <w:rsid w:val="00094A3A"/>
    <w:rsid w:val="00095D13"/>
    <w:rsid w:val="000A2E4D"/>
    <w:rsid w:val="000A454C"/>
    <w:rsid w:val="000A527F"/>
    <w:rsid w:val="000A5339"/>
    <w:rsid w:val="000A607B"/>
    <w:rsid w:val="000A62F6"/>
    <w:rsid w:val="000A6579"/>
    <w:rsid w:val="000A66E3"/>
    <w:rsid w:val="000A6A59"/>
    <w:rsid w:val="000B1999"/>
    <w:rsid w:val="000B445C"/>
    <w:rsid w:val="000B50BE"/>
    <w:rsid w:val="000B51FE"/>
    <w:rsid w:val="000B6239"/>
    <w:rsid w:val="000B6D85"/>
    <w:rsid w:val="000B703F"/>
    <w:rsid w:val="000B733C"/>
    <w:rsid w:val="000B7F60"/>
    <w:rsid w:val="000C11DE"/>
    <w:rsid w:val="000C21D0"/>
    <w:rsid w:val="000C3A44"/>
    <w:rsid w:val="000C53EB"/>
    <w:rsid w:val="000C5B2A"/>
    <w:rsid w:val="000D2EC4"/>
    <w:rsid w:val="000D3DD4"/>
    <w:rsid w:val="000D5593"/>
    <w:rsid w:val="000D5E58"/>
    <w:rsid w:val="000D7E17"/>
    <w:rsid w:val="000E0CDA"/>
    <w:rsid w:val="000E0E53"/>
    <w:rsid w:val="000E1064"/>
    <w:rsid w:val="000E1783"/>
    <w:rsid w:val="000E3195"/>
    <w:rsid w:val="000E378D"/>
    <w:rsid w:val="000E49B8"/>
    <w:rsid w:val="000E5706"/>
    <w:rsid w:val="000E571A"/>
    <w:rsid w:val="000E7060"/>
    <w:rsid w:val="000E7C2F"/>
    <w:rsid w:val="000E7E6B"/>
    <w:rsid w:val="000F06CE"/>
    <w:rsid w:val="000F0E21"/>
    <w:rsid w:val="000F172B"/>
    <w:rsid w:val="000F2886"/>
    <w:rsid w:val="000F2A3F"/>
    <w:rsid w:val="000F3A8B"/>
    <w:rsid w:val="000F42A8"/>
    <w:rsid w:val="000F72C9"/>
    <w:rsid w:val="00100FF1"/>
    <w:rsid w:val="0010149C"/>
    <w:rsid w:val="00101B88"/>
    <w:rsid w:val="00101EE7"/>
    <w:rsid w:val="00102B69"/>
    <w:rsid w:val="00104EA5"/>
    <w:rsid w:val="00105648"/>
    <w:rsid w:val="0010638D"/>
    <w:rsid w:val="0010659A"/>
    <w:rsid w:val="001075AB"/>
    <w:rsid w:val="00111609"/>
    <w:rsid w:val="00112FE3"/>
    <w:rsid w:val="0011304A"/>
    <w:rsid w:val="0011334D"/>
    <w:rsid w:val="00113B66"/>
    <w:rsid w:val="0011561E"/>
    <w:rsid w:val="00115DEA"/>
    <w:rsid w:val="00116520"/>
    <w:rsid w:val="00116A02"/>
    <w:rsid w:val="00117122"/>
    <w:rsid w:val="001174D9"/>
    <w:rsid w:val="0012115B"/>
    <w:rsid w:val="001242E7"/>
    <w:rsid w:val="001264F3"/>
    <w:rsid w:val="00126656"/>
    <w:rsid w:val="00126A99"/>
    <w:rsid w:val="00131133"/>
    <w:rsid w:val="00131793"/>
    <w:rsid w:val="0013225B"/>
    <w:rsid w:val="00132C6C"/>
    <w:rsid w:val="00132DF7"/>
    <w:rsid w:val="001354B7"/>
    <w:rsid w:val="00135DB3"/>
    <w:rsid w:val="0013628B"/>
    <w:rsid w:val="00137EEF"/>
    <w:rsid w:val="00140542"/>
    <w:rsid w:val="00140E0A"/>
    <w:rsid w:val="00141345"/>
    <w:rsid w:val="00142013"/>
    <w:rsid w:val="001432DF"/>
    <w:rsid w:val="001435AD"/>
    <w:rsid w:val="0014365C"/>
    <w:rsid w:val="001439F2"/>
    <w:rsid w:val="00143A08"/>
    <w:rsid w:val="00145C50"/>
    <w:rsid w:val="00147A18"/>
    <w:rsid w:val="00147C00"/>
    <w:rsid w:val="00147E6D"/>
    <w:rsid w:val="00150A2A"/>
    <w:rsid w:val="00151430"/>
    <w:rsid w:val="00153075"/>
    <w:rsid w:val="0015323B"/>
    <w:rsid w:val="00154F00"/>
    <w:rsid w:val="00154F9A"/>
    <w:rsid w:val="00156A8D"/>
    <w:rsid w:val="00156AC1"/>
    <w:rsid w:val="00157959"/>
    <w:rsid w:val="00160932"/>
    <w:rsid w:val="001628AA"/>
    <w:rsid w:val="0016516F"/>
    <w:rsid w:val="0016676A"/>
    <w:rsid w:val="00166B7B"/>
    <w:rsid w:val="0016747D"/>
    <w:rsid w:val="00172095"/>
    <w:rsid w:val="001739A1"/>
    <w:rsid w:val="00174881"/>
    <w:rsid w:val="00174F87"/>
    <w:rsid w:val="001755BA"/>
    <w:rsid w:val="00175926"/>
    <w:rsid w:val="0018196C"/>
    <w:rsid w:val="00181F8C"/>
    <w:rsid w:val="0018231D"/>
    <w:rsid w:val="001827A3"/>
    <w:rsid w:val="00183499"/>
    <w:rsid w:val="001850F2"/>
    <w:rsid w:val="00186455"/>
    <w:rsid w:val="00191FDB"/>
    <w:rsid w:val="001926B6"/>
    <w:rsid w:val="0019289B"/>
    <w:rsid w:val="001953C0"/>
    <w:rsid w:val="001957F8"/>
    <w:rsid w:val="001966F5"/>
    <w:rsid w:val="00197115"/>
    <w:rsid w:val="001A0F98"/>
    <w:rsid w:val="001A1A35"/>
    <w:rsid w:val="001A4731"/>
    <w:rsid w:val="001A4DFB"/>
    <w:rsid w:val="001B0209"/>
    <w:rsid w:val="001B0647"/>
    <w:rsid w:val="001B0EAD"/>
    <w:rsid w:val="001B1C5D"/>
    <w:rsid w:val="001B44AE"/>
    <w:rsid w:val="001B64F7"/>
    <w:rsid w:val="001B68FF"/>
    <w:rsid w:val="001B6A80"/>
    <w:rsid w:val="001B7B1B"/>
    <w:rsid w:val="001C03AC"/>
    <w:rsid w:val="001C0EC3"/>
    <w:rsid w:val="001C103D"/>
    <w:rsid w:val="001C1FC8"/>
    <w:rsid w:val="001C2FA1"/>
    <w:rsid w:val="001C4E0B"/>
    <w:rsid w:val="001C5004"/>
    <w:rsid w:val="001C756B"/>
    <w:rsid w:val="001D229B"/>
    <w:rsid w:val="001D22DF"/>
    <w:rsid w:val="001D2CAF"/>
    <w:rsid w:val="001D2EBA"/>
    <w:rsid w:val="001D4085"/>
    <w:rsid w:val="001D5753"/>
    <w:rsid w:val="001D6296"/>
    <w:rsid w:val="001D69A5"/>
    <w:rsid w:val="001E0413"/>
    <w:rsid w:val="001E0A5C"/>
    <w:rsid w:val="001E0BAC"/>
    <w:rsid w:val="001E151F"/>
    <w:rsid w:val="001E1A23"/>
    <w:rsid w:val="001E206E"/>
    <w:rsid w:val="001E2F11"/>
    <w:rsid w:val="001E33BB"/>
    <w:rsid w:val="001E627C"/>
    <w:rsid w:val="001F02C6"/>
    <w:rsid w:val="001F114A"/>
    <w:rsid w:val="001F3C18"/>
    <w:rsid w:val="001F4934"/>
    <w:rsid w:val="001F5F06"/>
    <w:rsid w:val="001F62EE"/>
    <w:rsid w:val="001F704C"/>
    <w:rsid w:val="001F7152"/>
    <w:rsid w:val="001F7262"/>
    <w:rsid w:val="002001A7"/>
    <w:rsid w:val="002002A9"/>
    <w:rsid w:val="00201E22"/>
    <w:rsid w:val="002021F8"/>
    <w:rsid w:val="002034C4"/>
    <w:rsid w:val="00203A47"/>
    <w:rsid w:val="00203C19"/>
    <w:rsid w:val="002047DF"/>
    <w:rsid w:val="002063A5"/>
    <w:rsid w:val="00210D55"/>
    <w:rsid w:val="00214150"/>
    <w:rsid w:val="00214D49"/>
    <w:rsid w:val="00214EA4"/>
    <w:rsid w:val="0021576A"/>
    <w:rsid w:val="00216025"/>
    <w:rsid w:val="0021799B"/>
    <w:rsid w:val="00220156"/>
    <w:rsid w:val="002205CC"/>
    <w:rsid w:val="00220783"/>
    <w:rsid w:val="00221117"/>
    <w:rsid w:val="00222AE8"/>
    <w:rsid w:val="002247A9"/>
    <w:rsid w:val="002251C2"/>
    <w:rsid w:val="00226674"/>
    <w:rsid w:val="0023034D"/>
    <w:rsid w:val="00232377"/>
    <w:rsid w:val="00233BBD"/>
    <w:rsid w:val="00234B71"/>
    <w:rsid w:val="00234E3E"/>
    <w:rsid w:val="00234FF9"/>
    <w:rsid w:val="00237BEE"/>
    <w:rsid w:val="00240ED1"/>
    <w:rsid w:val="00242423"/>
    <w:rsid w:val="00244CDC"/>
    <w:rsid w:val="00245251"/>
    <w:rsid w:val="00250E36"/>
    <w:rsid w:val="0025172E"/>
    <w:rsid w:val="00252090"/>
    <w:rsid w:val="002536DB"/>
    <w:rsid w:val="00254B46"/>
    <w:rsid w:val="0025583F"/>
    <w:rsid w:val="002563D8"/>
    <w:rsid w:val="0025719D"/>
    <w:rsid w:val="002575BA"/>
    <w:rsid w:val="00257905"/>
    <w:rsid w:val="0026056F"/>
    <w:rsid w:val="002610F9"/>
    <w:rsid w:val="0026153B"/>
    <w:rsid w:val="0026235F"/>
    <w:rsid w:val="00264C6F"/>
    <w:rsid w:val="00265825"/>
    <w:rsid w:val="00266A4D"/>
    <w:rsid w:val="002707EC"/>
    <w:rsid w:val="00272275"/>
    <w:rsid w:val="00272F99"/>
    <w:rsid w:val="0027314A"/>
    <w:rsid w:val="002739C6"/>
    <w:rsid w:val="00274137"/>
    <w:rsid w:val="00276EB2"/>
    <w:rsid w:val="00277425"/>
    <w:rsid w:val="00277E19"/>
    <w:rsid w:val="00277EDA"/>
    <w:rsid w:val="00280EC8"/>
    <w:rsid w:val="00284F7D"/>
    <w:rsid w:val="00290EAC"/>
    <w:rsid w:val="00290EB5"/>
    <w:rsid w:val="00291E7E"/>
    <w:rsid w:val="00292B66"/>
    <w:rsid w:val="00292C3D"/>
    <w:rsid w:val="00292C59"/>
    <w:rsid w:val="00292DE1"/>
    <w:rsid w:val="00293A68"/>
    <w:rsid w:val="00296890"/>
    <w:rsid w:val="00296A98"/>
    <w:rsid w:val="00297F52"/>
    <w:rsid w:val="002A09DE"/>
    <w:rsid w:val="002A222C"/>
    <w:rsid w:val="002A25C9"/>
    <w:rsid w:val="002A3518"/>
    <w:rsid w:val="002A3A0F"/>
    <w:rsid w:val="002A3EA9"/>
    <w:rsid w:val="002A4738"/>
    <w:rsid w:val="002A616C"/>
    <w:rsid w:val="002A71ED"/>
    <w:rsid w:val="002B18C3"/>
    <w:rsid w:val="002B27C0"/>
    <w:rsid w:val="002B2FFD"/>
    <w:rsid w:val="002B3A39"/>
    <w:rsid w:val="002B42C6"/>
    <w:rsid w:val="002B4C8F"/>
    <w:rsid w:val="002B632D"/>
    <w:rsid w:val="002B6F61"/>
    <w:rsid w:val="002C00ED"/>
    <w:rsid w:val="002C0B3F"/>
    <w:rsid w:val="002C13A4"/>
    <w:rsid w:val="002C1ADF"/>
    <w:rsid w:val="002C1B7D"/>
    <w:rsid w:val="002C20A7"/>
    <w:rsid w:val="002C3EBB"/>
    <w:rsid w:val="002C437C"/>
    <w:rsid w:val="002C461E"/>
    <w:rsid w:val="002C650A"/>
    <w:rsid w:val="002C74A6"/>
    <w:rsid w:val="002C79B9"/>
    <w:rsid w:val="002C7B64"/>
    <w:rsid w:val="002D0DD8"/>
    <w:rsid w:val="002D0E45"/>
    <w:rsid w:val="002D296C"/>
    <w:rsid w:val="002D39B6"/>
    <w:rsid w:val="002D53BC"/>
    <w:rsid w:val="002D5C14"/>
    <w:rsid w:val="002D68A2"/>
    <w:rsid w:val="002D6F10"/>
    <w:rsid w:val="002E3226"/>
    <w:rsid w:val="002E3E73"/>
    <w:rsid w:val="002E4478"/>
    <w:rsid w:val="002E5510"/>
    <w:rsid w:val="002E57D5"/>
    <w:rsid w:val="002E77C6"/>
    <w:rsid w:val="002E7B28"/>
    <w:rsid w:val="002F0244"/>
    <w:rsid w:val="002F0C51"/>
    <w:rsid w:val="002F21DB"/>
    <w:rsid w:val="002F2C20"/>
    <w:rsid w:val="002F2D31"/>
    <w:rsid w:val="002F2EB8"/>
    <w:rsid w:val="002F3038"/>
    <w:rsid w:val="002F33CF"/>
    <w:rsid w:val="002F4921"/>
    <w:rsid w:val="002F4BAC"/>
    <w:rsid w:val="00300434"/>
    <w:rsid w:val="003031F4"/>
    <w:rsid w:val="00303BEC"/>
    <w:rsid w:val="00303EAF"/>
    <w:rsid w:val="003042D6"/>
    <w:rsid w:val="0030436D"/>
    <w:rsid w:val="00304D3B"/>
    <w:rsid w:val="00305AD0"/>
    <w:rsid w:val="00306289"/>
    <w:rsid w:val="00306317"/>
    <w:rsid w:val="00306782"/>
    <w:rsid w:val="00306818"/>
    <w:rsid w:val="0031116D"/>
    <w:rsid w:val="003119A1"/>
    <w:rsid w:val="00312237"/>
    <w:rsid w:val="00312FF6"/>
    <w:rsid w:val="003134ED"/>
    <w:rsid w:val="0031503B"/>
    <w:rsid w:val="003154AE"/>
    <w:rsid w:val="00317D5E"/>
    <w:rsid w:val="00321ABB"/>
    <w:rsid w:val="0032604C"/>
    <w:rsid w:val="00326B7E"/>
    <w:rsid w:val="00326DF6"/>
    <w:rsid w:val="003271A2"/>
    <w:rsid w:val="00327641"/>
    <w:rsid w:val="00327B92"/>
    <w:rsid w:val="00330287"/>
    <w:rsid w:val="0033065D"/>
    <w:rsid w:val="00330A52"/>
    <w:rsid w:val="00331C96"/>
    <w:rsid w:val="00334DCD"/>
    <w:rsid w:val="003350E7"/>
    <w:rsid w:val="003354B6"/>
    <w:rsid w:val="003379F0"/>
    <w:rsid w:val="00340543"/>
    <w:rsid w:val="0034055B"/>
    <w:rsid w:val="0034141F"/>
    <w:rsid w:val="00342825"/>
    <w:rsid w:val="0034348B"/>
    <w:rsid w:val="0034511A"/>
    <w:rsid w:val="00345E90"/>
    <w:rsid w:val="00347B7C"/>
    <w:rsid w:val="00350FC0"/>
    <w:rsid w:val="003520CB"/>
    <w:rsid w:val="0035273E"/>
    <w:rsid w:val="00352E48"/>
    <w:rsid w:val="003535E0"/>
    <w:rsid w:val="00353856"/>
    <w:rsid w:val="00353982"/>
    <w:rsid w:val="00353B33"/>
    <w:rsid w:val="00353E8F"/>
    <w:rsid w:val="00356D4E"/>
    <w:rsid w:val="00360835"/>
    <w:rsid w:val="00360D0B"/>
    <w:rsid w:val="00363988"/>
    <w:rsid w:val="00366094"/>
    <w:rsid w:val="003665C5"/>
    <w:rsid w:val="00366F26"/>
    <w:rsid w:val="0036746E"/>
    <w:rsid w:val="003674B4"/>
    <w:rsid w:val="00371B3B"/>
    <w:rsid w:val="00372CB5"/>
    <w:rsid w:val="00372F14"/>
    <w:rsid w:val="003748C2"/>
    <w:rsid w:val="003750C1"/>
    <w:rsid w:val="00375139"/>
    <w:rsid w:val="00375579"/>
    <w:rsid w:val="00377C1F"/>
    <w:rsid w:val="00377CF3"/>
    <w:rsid w:val="00380720"/>
    <w:rsid w:val="0038233A"/>
    <w:rsid w:val="00382E75"/>
    <w:rsid w:val="00383795"/>
    <w:rsid w:val="003839B1"/>
    <w:rsid w:val="0038407B"/>
    <w:rsid w:val="003844B2"/>
    <w:rsid w:val="0038456B"/>
    <w:rsid w:val="003847F3"/>
    <w:rsid w:val="00384A55"/>
    <w:rsid w:val="003857B8"/>
    <w:rsid w:val="00386231"/>
    <w:rsid w:val="003862F9"/>
    <w:rsid w:val="00387CB8"/>
    <w:rsid w:val="00387DD8"/>
    <w:rsid w:val="003907EE"/>
    <w:rsid w:val="0039129F"/>
    <w:rsid w:val="003917A0"/>
    <w:rsid w:val="00392190"/>
    <w:rsid w:val="00392A4A"/>
    <w:rsid w:val="00392AF8"/>
    <w:rsid w:val="00392F9F"/>
    <w:rsid w:val="003937B3"/>
    <w:rsid w:val="00394AB8"/>
    <w:rsid w:val="00394B2B"/>
    <w:rsid w:val="00396F70"/>
    <w:rsid w:val="003974C0"/>
    <w:rsid w:val="003A0295"/>
    <w:rsid w:val="003A04B2"/>
    <w:rsid w:val="003A40D4"/>
    <w:rsid w:val="003A6B72"/>
    <w:rsid w:val="003A70B7"/>
    <w:rsid w:val="003A7ED4"/>
    <w:rsid w:val="003B0607"/>
    <w:rsid w:val="003B06CA"/>
    <w:rsid w:val="003B0EE6"/>
    <w:rsid w:val="003B1191"/>
    <w:rsid w:val="003B24C6"/>
    <w:rsid w:val="003B475B"/>
    <w:rsid w:val="003B6519"/>
    <w:rsid w:val="003B6F15"/>
    <w:rsid w:val="003B7FDA"/>
    <w:rsid w:val="003C014A"/>
    <w:rsid w:val="003C0620"/>
    <w:rsid w:val="003C0DEB"/>
    <w:rsid w:val="003C210A"/>
    <w:rsid w:val="003C228C"/>
    <w:rsid w:val="003C279B"/>
    <w:rsid w:val="003C29EF"/>
    <w:rsid w:val="003C5533"/>
    <w:rsid w:val="003C6CE8"/>
    <w:rsid w:val="003C710D"/>
    <w:rsid w:val="003C731A"/>
    <w:rsid w:val="003C7573"/>
    <w:rsid w:val="003D0C34"/>
    <w:rsid w:val="003D1D5E"/>
    <w:rsid w:val="003D26E8"/>
    <w:rsid w:val="003D4C60"/>
    <w:rsid w:val="003D60F7"/>
    <w:rsid w:val="003D6C0E"/>
    <w:rsid w:val="003D6CD3"/>
    <w:rsid w:val="003E05A2"/>
    <w:rsid w:val="003E15DF"/>
    <w:rsid w:val="003E3459"/>
    <w:rsid w:val="003E3A46"/>
    <w:rsid w:val="003E4C66"/>
    <w:rsid w:val="003E4F9C"/>
    <w:rsid w:val="003E51E0"/>
    <w:rsid w:val="003E6F6E"/>
    <w:rsid w:val="003E6FE3"/>
    <w:rsid w:val="003E7D9D"/>
    <w:rsid w:val="003E7F80"/>
    <w:rsid w:val="003F088B"/>
    <w:rsid w:val="003F1F5F"/>
    <w:rsid w:val="003F2850"/>
    <w:rsid w:val="003F2C6B"/>
    <w:rsid w:val="003F34AC"/>
    <w:rsid w:val="003F4336"/>
    <w:rsid w:val="003F439E"/>
    <w:rsid w:val="003F53BA"/>
    <w:rsid w:val="003F5DFD"/>
    <w:rsid w:val="0040077E"/>
    <w:rsid w:val="0040132C"/>
    <w:rsid w:val="00401619"/>
    <w:rsid w:val="00401A28"/>
    <w:rsid w:val="0040277A"/>
    <w:rsid w:val="00402D76"/>
    <w:rsid w:val="004036EE"/>
    <w:rsid w:val="00403C5E"/>
    <w:rsid w:val="00403DF0"/>
    <w:rsid w:val="00404AEC"/>
    <w:rsid w:val="00410217"/>
    <w:rsid w:val="00410581"/>
    <w:rsid w:val="00411BD7"/>
    <w:rsid w:val="00412054"/>
    <w:rsid w:val="00413468"/>
    <w:rsid w:val="0041375D"/>
    <w:rsid w:val="004144F8"/>
    <w:rsid w:val="004149C3"/>
    <w:rsid w:val="00414C90"/>
    <w:rsid w:val="0041677D"/>
    <w:rsid w:val="00416F72"/>
    <w:rsid w:val="00417846"/>
    <w:rsid w:val="00420527"/>
    <w:rsid w:val="00421436"/>
    <w:rsid w:val="00422561"/>
    <w:rsid w:val="00423318"/>
    <w:rsid w:val="00424420"/>
    <w:rsid w:val="00424D90"/>
    <w:rsid w:val="004278CD"/>
    <w:rsid w:val="00430296"/>
    <w:rsid w:val="00430A61"/>
    <w:rsid w:val="00430F62"/>
    <w:rsid w:val="004319B2"/>
    <w:rsid w:val="00431B43"/>
    <w:rsid w:val="00431EBF"/>
    <w:rsid w:val="00431F55"/>
    <w:rsid w:val="004325D9"/>
    <w:rsid w:val="004332A2"/>
    <w:rsid w:val="004339E7"/>
    <w:rsid w:val="00434BDC"/>
    <w:rsid w:val="004353A7"/>
    <w:rsid w:val="004357F7"/>
    <w:rsid w:val="00435ED2"/>
    <w:rsid w:val="00436C11"/>
    <w:rsid w:val="0043760B"/>
    <w:rsid w:val="00437BA8"/>
    <w:rsid w:val="00440E2F"/>
    <w:rsid w:val="004419B3"/>
    <w:rsid w:val="00442F2C"/>
    <w:rsid w:val="0044355A"/>
    <w:rsid w:val="00444AB2"/>
    <w:rsid w:val="00444C23"/>
    <w:rsid w:val="00444C65"/>
    <w:rsid w:val="00444D6D"/>
    <w:rsid w:val="00445015"/>
    <w:rsid w:val="004453C0"/>
    <w:rsid w:val="004459C0"/>
    <w:rsid w:val="00445BAB"/>
    <w:rsid w:val="00445C0E"/>
    <w:rsid w:val="00447733"/>
    <w:rsid w:val="00452876"/>
    <w:rsid w:val="00453264"/>
    <w:rsid w:val="0045414D"/>
    <w:rsid w:val="00454333"/>
    <w:rsid w:val="00455807"/>
    <w:rsid w:val="00457087"/>
    <w:rsid w:val="00457AB0"/>
    <w:rsid w:val="0046172F"/>
    <w:rsid w:val="00462B29"/>
    <w:rsid w:val="00462BF9"/>
    <w:rsid w:val="004630B5"/>
    <w:rsid w:val="00463A99"/>
    <w:rsid w:val="0046510C"/>
    <w:rsid w:val="00467C69"/>
    <w:rsid w:val="00470CFF"/>
    <w:rsid w:val="004710B8"/>
    <w:rsid w:val="004716BB"/>
    <w:rsid w:val="00471701"/>
    <w:rsid w:val="00473F48"/>
    <w:rsid w:val="00474058"/>
    <w:rsid w:val="0047491D"/>
    <w:rsid w:val="00474ACC"/>
    <w:rsid w:val="00474AEC"/>
    <w:rsid w:val="004774E9"/>
    <w:rsid w:val="004805D9"/>
    <w:rsid w:val="004808D1"/>
    <w:rsid w:val="004809FA"/>
    <w:rsid w:val="00480CAE"/>
    <w:rsid w:val="00480CC6"/>
    <w:rsid w:val="00481999"/>
    <w:rsid w:val="00481BB3"/>
    <w:rsid w:val="00483166"/>
    <w:rsid w:val="00483ACD"/>
    <w:rsid w:val="004841D3"/>
    <w:rsid w:val="004860E4"/>
    <w:rsid w:val="004861AB"/>
    <w:rsid w:val="00486560"/>
    <w:rsid w:val="00487DDE"/>
    <w:rsid w:val="00490392"/>
    <w:rsid w:val="00492A95"/>
    <w:rsid w:val="0049368C"/>
    <w:rsid w:val="00494310"/>
    <w:rsid w:val="004943C3"/>
    <w:rsid w:val="0049468B"/>
    <w:rsid w:val="00496AF4"/>
    <w:rsid w:val="004A0714"/>
    <w:rsid w:val="004A0BE3"/>
    <w:rsid w:val="004A3EB2"/>
    <w:rsid w:val="004A60FA"/>
    <w:rsid w:val="004A6744"/>
    <w:rsid w:val="004A71B7"/>
    <w:rsid w:val="004A764B"/>
    <w:rsid w:val="004B0557"/>
    <w:rsid w:val="004B0E45"/>
    <w:rsid w:val="004B0E9C"/>
    <w:rsid w:val="004B1855"/>
    <w:rsid w:val="004B20EE"/>
    <w:rsid w:val="004B336D"/>
    <w:rsid w:val="004B4A9E"/>
    <w:rsid w:val="004B57B5"/>
    <w:rsid w:val="004B621E"/>
    <w:rsid w:val="004B660D"/>
    <w:rsid w:val="004C3D6A"/>
    <w:rsid w:val="004D011B"/>
    <w:rsid w:val="004D32E5"/>
    <w:rsid w:val="004D3372"/>
    <w:rsid w:val="004D3484"/>
    <w:rsid w:val="004D3A89"/>
    <w:rsid w:val="004D4FED"/>
    <w:rsid w:val="004D54E3"/>
    <w:rsid w:val="004D63E6"/>
    <w:rsid w:val="004D786D"/>
    <w:rsid w:val="004D7AE0"/>
    <w:rsid w:val="004E01AE"/>
    <w:rsid w:val="004E02C1"/>
    <w:rsid w:val="004E0688"/>
    <w:rsid w:val="004E22ED"/>
    <w:rsid w:val="004E243B"/>
    <w:rsid w:val="004E354A"/>
    <w:rsid w:val="004E40C1"/>
    <w:rsid w:val="004E42C0"/>
    <w:rsid w:val="004E4518"/>
    <w:rsid w:val="004E5AD7"/>
    <w:rsid w:val="004E5DAE"/>
    <w:rsid w:val="004E5FE7"/>
    <w:rsid w:val="004E7224"/>
    <w:rsid w:val="004E7E11"/>
    <w:rsid w:val="004F0F15"/>
    <w:rsid w:val="004F1073"/>
    <w:rsid w:val="004F1EC0"/>
    <w:rsid w:val="004F4615"/>
    <w:rsid w:val="004F604E"/>
    <w:rsid w:val="005024D5"/>
    <w:rsid w:val="00503C3C"/>
    <w:rsid w:val="005056A7"/>
    <w:rsid w:val="005058F5"/>
    <w:rsid w:val="005127A7"/>
    <w:rsid w:val="00512E06"/>
    <w:rsid w:val="0051546C"/>
    <w:rsid w:val="00516AC0"/>
    <w:rsid w:val="0052001B"/>
    <w:rsid w:val="00520B02"/>
    <w:rsid w:val="0052224E"/>
    <w:rsid w:val="00522EE9"/>
    <w:rsid w:val="0052311A"/>
    <w:rsid w:val="005235B4"/>
    <w:rsid w:val="00524C02"/>
    <w:rsid w:val="00524C4C"/>
    <w:rsid w:val="00525B0F"/>
    <w:rsid w:val="00527370"/>
    <w:rsid w:val="0052759F"/>
    <w:rsid w:val="00527B4D"/>
    <w:rsid w:val="005310DB"/>
    <w:rsid w:val="005336DF"/>
    <w:rsid w:val="00533C60"/>
    <w:rsid w:val="0053433D"/>
    <w:rsid w:val="00534868"/>
    <w:rsid w:val="00535057"/>
    <w:rsid w:val="00535B93"/>
    <w:rsid w:val="00536816"/>
    <w:rsid w:val="00540543"/>
    <w:rsid w:val="00540FD1"/>
    <w:rsid w:val="00540FF7"/>
    <w:rsid w:val="005414CE"/>
    <w:rsid w:val="00541697"/>
    <w:rsid w:val="005421CA"/>
    <w:rsid w:val="00542A5F"/>
    <w:rsid w:val="005435D8"/>
    <w:rsid w:val="00544F99"/>
    <w:rsid w:val="005462E2"/>
    <w:rsid w:val="0054693B"/>
    <w:rsid w:val="00547E0C"/>
    <w:rsid w:val="0055144C"/>
    <w:rsid w:val="00551F76"/>
    <w:rsid w:val="00553D1A"/>
    <w:rsid w:val="0055440D"/>
    <w:rsid w:val="00554456"/>
    <w:rsid w:val="00554822"/>
    <w:rsid w:val="00554E05"/>
    <w:rsid w:val="005562A4"/>
    <w:rsid w:val="005564B7"/>
    <w:rsid w:val="00556A72"/>
    <w:rsid w:val="00557AA6"/>
    <w:rsid w:val="00557CD6"/>
    <w:rsid w:val="00560C72"/>
    <w:rsid w:val="005620F3"/>
    <w:rsid w:val="00562AD3"/>
    <w:rsid w:val="00562E11"/>
    <w:rsid w:val="00563867"/>
    <w:rsid w:val="00564063"/>
    <w:rsid w:val="00565019"/>
    <w:rsid w:val="00565A7F"/>
    <w:rsid w:val="00566DA5"/>
    <w:rsid w:val="00570A33"/>
    <w:rsid w:val="00570E20"/>
    <w:rsid w:val="005723B2"/>
    <w:rsid w:val="005725D4"/>
    <w:rsid w:val="00573435"/>
    <w:rsid w:val="00573BE0"/>
    <w:rsid w:val="00573CC6"/>
    <w:rsid w:val="0057424E"/>
    <w:rsid w:val="005747F9"/>
    <w:rsid w:val="0057658A"/>
    <w:rsid w:val="005765C6"/>
    <w:rsid w:val="005802A3"/>
    <w:rsid w:val="005807BA"/>
    <w:rsid w:val="00581191"/>
    <w:rsid w:val="00583105"/>
    <w:rsid w:val="00583E99"/>
    <w:rsid w:val="005860BD"/>
    <w:rsid w:val="005860EF"/>
    <w:rsid w:val="005869AB"/>
    <w:rsid w:val="00590236"/>
    <w:rsid w:val="0059161C"/>
    <w:rsid w:val="00591E91"/>
    <w:rsid w:val="00592694"/>
    <w:rsid w:val="00596306"/>
    <w:rsid w:val="005964F3"/>
    <w:rsid w:val="00597D73"/>
    <w:rsid w:val="005A0BA7"/>
    <w:rsid w:val="005A5D6E"/>
    <w:rsid w:val="005A7720"/>
    <w:rsid w:val="005A79C6"/>
    <w:rsid w:val="005A7AEE"/>
    <w:rsid w:val="005B0D64"/>
    <w:rsid w:val="005B3E63"/>
    <w:rsid w:val="005B4154"/>
    <w:rsid w:val="005B48C9"/>
    <w:rsid w:val="005B4C67"/>
    <w:rsid w:val="005B584C"/>
    <w:rsid w:val="005B59EA"/>
    <w:rsid w:val="005B62E7"/>
    <w:rsid w:val="005C0E40"/>
    <w:rsid w:val="005C136F"/>
    <w:rsid w:val="005C17C4"/>
    <w:rsid w:val="005C1C8A"/>
    <w:rsid w:val="005C294D"/>
    <w:rsid w:val="005C4A3B"/>
    <w:rsid w:val="005C4DFE"/>
    <w:rsid w:val="005C5BBF"/>
    <w:rsid w:val="005C6027"/>
    <w:rsid w:val="005C65CC"/>
    <w:rsid w:val="005C6667"/>
    <w:rsid w:val="005C6C6E"/>
    <w:rsid w:val="005C725F"/>
    <w:rsid w:val="005C7F65"/>
    <w:rsid w:val="005D03DE"/>
    <w:rsid w:val="005D0DB7"/>
    <w:rsid w:val="005D12AA"/>
    <w:rsid w:val="005D4A78"/>
    <w:rsid w:val="005D4E87"/>
    <w:rsid w:val="005D7C81"/>
    <w:rsid w:val="005E44C1"/>
    <w:rsid w:val="005E5128"/>
    <w:rsid w:val="005E5616"/>
    <w:rsid w:val="005E57F4"/>
    <w:rsid w:val="005E584B"/>
    <w:rsid w:val="005E6AF5"/>
    <w:rsid w:val="005E7956"/>
    <w:rsid w:val="005F0A77"/>
    <w:rsid w:val="005F261D"/>
    <w:rsid w:val="005F2851"/>
    <w:rsid w:val="005F3A9D"/>
    <w:rsid w:val="005F3EB8"/>
    <w:rsid w:val="005F4B23"/>
    <w:rsid w:val="005F4D72"/>
    <w:rsid w:val="005F570F"/>
    <w:rsid w:val="005F61E1"/>
    <w:rsid w:val="005F687D"/>
    <w:rsid w:val="005F6F05"/>
    <w:rsid w:val="005F705A"/>
    <w:rsid w:val="005F7F46"/>
    <w:rsid w:val="00600EB0"/>
    <w:rsid w:val="00601391"/>
    <w:rsid w:val="0060139E"/>
    <w:rsid w:val="00601B77"/>
    <w:rsid w:val="0060237A"/>
    <w:rsid w:val="006045F3"/>
    <w:rsid w:val="00605B64"/>
    <w:rsid w:val="00605E94"/>
    <w:rsid w:val="00605EB3"/>
    <w:rsid w:val="0060783A"/>
    <w:rsid w:val="00610C33"/>
    <w:rsid w:val="00613DCB"/>
    <w:rsid w:val="006148E0"/>
    <w:rsid w:val="0061608A"/>
    <w:rsid w:val="00617D09"/>
    <w:rsid w:val="006213EB"/>
    <w:rsid w:val="006215C6"/>
    <w:rsid w:val="00621C57"/>
    <w:rsid w:val="00621D70"/>
    <w:rsid w:val="00623464"/>
    <w:rsid w:val="00624A15"/>
    <w:rsid w:val="006252CC"/>
    <w:rsid w:val="00626E0B"/>
    <w:rsid w:val="00627632"/>
    <w:rsid w:val="0062765B"/>
    <w:rsid w:val="006309C6"/>
    <w:rsid w:val="00630D59"/>
    <w:rsid w:val="00633254"/>
    <w:rsid w:val="0063334F"/>
    <w:rsid w:val="00633668"/>
    <w:rsid w:val="00633B21"/>
    <w:rsid w:val="00633B80"/>
    <w:rsid w:val="00633E17"/>
    <w:rsid w:val="00634CB1"/>
    <w:rsid w:val="00635763"/>
    <w:rsid w:val="00635CB4"/>
    <w:rsid w:val="00635F29"/>
    <w:rsid w:val="00636950"/>
    <w:rsid w:val="0063793A"/>
    <w:rsid w:val="006405DC"/>
    <w:rsid w:val="00642105"/>
    <w:rsid w:val="006421C5"/>
    <w:rsid w:val="0064290A"/>
    <w:rsid w:val="00643D95"/>
    <w:rsid w:val="006441BF"/>
    <w:rsid w:val="00645235"/>
    <w:rsid w:val="0064552B"/>
    <w:rsid w:val="00646216"/>
    <w:rsid w:val="00646584"/>
    <w:rsid w:val="00650E1F"/>
    <w:rsid w:val="00651168"/>
    <w:rsid w:val="006513E5"/>
    <w:rsid w:val="006517F6"/>
    <w:rsid w:val="006523FB"/>
    <w:rsid w:val="006529D6"/>
    <w:rsid w:val="00654F89"/>
    <w:rsid w:val="0065542F"/>
    <w:rsid w:val="00655A29"/>
    <w:rsid w:val="00655F67"/>
    <w:rsid w:val="00656894"/>
    <w:rsid w:val="006568CC"/>
    <w:rsid w:val="00660047"/>
    <w:rsid w:val="00660224"/>
    <w:rsid w:val="00660448"/>
    <w:rsid w:val="00660E83"/>
    <w:rsid w:val="006629E9"/>
    <w:rsid w:val="0066331A"/>
    <w:rsid w:val="00663EB5"/>
    <w:rsid w:val="00664213"/>
    <w:rsid w:val="00664AD6"/>
    <w:rsid w:val="00664EE0"/>
    <w:rsid w:val="0066618A"/>
    <w:rsid w:val="00666F91"/>
    <w:rsid w:val="006671FE"/>
    <w:rsid w:val="006673F7"/>
    <w:rsid w:val="0067076D"/>
    <w:rsid w:val="0067135F"/>
    <w:rsid w:val="00672BCD"/>
    <w:rsid w:val="00672D0C"/>
    <w:rsid w:val="00672D8E"/>
    <w:rsid w:val="00673631"/>
    <w:rsid w:val="00673E6E"/>
    <w:rsid w:val="0067486B"/>
    <w:rsid w:val="006756BC"/>
    <w:rsid w:val="006761A4"/>
    <w:rsid w:val="006768B5"/>
    <w:rsid w:val="00680BEB"/>
    <w:rsid w:val="0068196D"/>
    <w:rsid w:val="0068246F"/>
    <w:rsid w:val="006848BC"/>
    <w:rsid w:val="0068490D"/>
    <w:rsid w:val="00684BC6"/>
    <w:rsid w:val="00685712"/>
    <w:rsid w:val="0068607D"/>
    <w:rsid w:val="0068686A"/>
    <w:rsid w:val="00687D7B"/>
    <w:rsid w:val="00691E17"/>
    <w:rsid w:val="006925BA"/>
    <w:rsid w:val="00693651"/>
    <w:rsid w:val="00696A92"/>
    <w:rsid w:val="00697696"/>
    <w:rsid w:val="006976BE"/>
    <w:rsid w:val="006A0276"/>
    <w:rsid w:val="006A1EC3"/>
    <w:rsid w:val="006A1F5F"/>
    <w:rsid w:val="006A2CA8"/>
    <w:rsid w:val="006A3014"/>
    <w:rsid w:val="006A3096"/>
    <w:rsid w:val="006A4EE2"/>
    <w:rsid w:val="006A5438"/>
    <w:rsid w:val="006A59C5"/>
    <w:rsid w:val="006A5F38"/>
    <w:rsid w:val="006A670D"/>
    <w:rsid w:val="006A694C"/>
    <w:rsid w:val="006A6BC3"/>
    <w:rsid w:val="006A76E2"/>
    <w:rsid w:val="006A792E"/>
    <w:rsid w:val="006B393D"/>
    <w:rsid w:val="006B4271"/>
    <w:rsid w:val="006B502B"/>
    <w:rsid w:val="006B5C84"/>
    <w:rsid w:val="006B5DDF"/>
    <w:rsid w:val="006B63B5"/>
    <w:rsid w:val="006B68E7"/>
    <w:rsid w:val="006B6CFD"/>
    <w:rsid w:val="006C123D"/>
    <w:rsid w:val="006C37A2"/>
    <w:rsid w:val="006C4470"/>
    <w:rsid w:val="006C56B6"/>
    <w:rsid w:val="006C74B6"/>
    <w:rsid w:val="006D2BD6"/>
    <w:rsid w:val="006D3C07"/>
    <w:rsid w:val="006D3D98"/>
    <w:rsid w:val="006D4D33"/>
    <w:rsid w:val="006D5AA7"/>
    <w:rsid w:val="006D77C0"/>
    <w:rsid w:val="006D7BC1"/>
    <w:rsid w:val="006E1068"/>
    <w:rsid w:val="006E1CED"/>
    <w:rsid w:val="006E2FC6"/>
    <w:rsid w:val="006E63FA"/>
    <w:rsid w:val="006F11E1"/>
    <w:rsid w:val="006F1301"/>
    <w:rsid w:val="006F1E56"/>
    <w:rsid w:val="006F2317"/>
    <w:rsid w:val="006F5EE1"/>
    <w:rsid w:val="006F6155"/>
    <w:rsid w:val="006F65ED"/>
    <w:rsid w:val="006F7F93"/>
    <w:rsid w:val="007006D6"/>
    <w:rsid w:val="00702A50"/>
    <w:rsid w:val="00703907"/>
    <w:rsid w:val="00705F02"/>
    <w:rsid w:val="00707AE0"/>
    <w:rsid w:val="0071000A"/>
    <w:rsid w:val="00710CA3"/>
    <w:rsid w:val="0071155F"/>
    <w:rsid w:val="00711637"/>
    <w:rsid w:val="007126F8"/>
    <w:rsid w:val="00712CFF"/>
    <w:rsid w:val="00712F9B"/>
    <w:rsid w:val="00713104"/>
    <w:rsid w:val="007137AA"/>
    <w:rsid w:val="00716D6D"/>
    <w:rsid w:val="00717470"/>
    <w:rsid w:val="00717613"/>
    <w:rsid w:val="00720232"/>
    <w:rsid w:val="00720CAA"/>
    <w:rsid w:val="00721BCB"/>
    <w:rsid w:val="0072210A"/>
    <w:rsid w:val="00723747"/>
    <w:rsid w:val="00725B42"/>
    <w:rsid w:val="00725C9A"/>
    <w:rsid w:val="00726381"/>
    <w:rsid w:val="00726A89"/>
    <w:rsid w:val="00730520"/>
    <w:rsid w:val="00730BF1"/>
    <w:rsid w:val="00730CE7"/>
    <w:rsid w:val="00730EA7"/>
    <w:rsid w:val="00732634"/>
    <w:rsid w:val="00733C44"/>
    <w:rsid w:val="00734916"/>
    <w:rsid w:val="00734F12"/>
    <w:rsid w:val="00736577"/>
    <w:rsid w:val="00736B65"/>
    <w:rsid w:val="00736BF3"/>
    <w:rsid w:val="00741803"/>
    <w:rsid w:val="00742523"/>
    <w:rsid w:val="007437E5"/>
    <w:rsid w:val="0074425C"/>
    <w:rsid w:val="00744610"/>
    <w:rsid w:val="0074472F"/>
    <w:rsid w:val="00745CCF"/>
    <w:rsid w:val="007466C4"/>
    <w:rsid w:val="00746A25"/>
    <w:rsid w:val="00747DFA"/>
    <w:rsid w:val="00747E07"/>
    <w:rsid w:val="0075124E"/>
    <w:rsid w:val="007515D9"/>
    <w:rsid w:val="00752D37"/>
    <w:rsid w:val="00753749"/>
    <w:rsid w:val="00754A40"/>
    <w:rsid w:val="00756830"/>
    <w:rsid w:val="00756BB7"/>
    <w:rsid w:val="00756C1D"/>
    <w:rsid w:val="00757556"/>
    <w:rsid w:val="0076016C"/>
    <w:rsid w:val="00760EA8"/>
    <w:rsid w:val="00763ECA"/>
    <w:rsid w:val="00764EA5"/>
    <w:rsid w:val="00765257"/>
    <w:rsid w:val="00766CC2"/>
    <w:rsid w:val="00766D46"/>
    <w:rsid w:val="00767522"/>
    <w:rsid w:val="00767629"/>
    <w:rsid w:val="0077022D"/>
    <w:rsid w:val="00770856"/>
    <w:rsid w:val="00770CA7"/>
    <w:rsid w:val="00773162"/>
    <w:rsid w:val="007740F9"/>
    <w:rsid w:val="00774921"/>
    <w:rsid w:val="00774D8C"/>
    <w:rsid w:val="0077735B"/>
    <w:rsid w:val="0077739C"/>
    <w:rsid w:val="00783D5B"/>
    <w:rsid w:val="00784013"/>
    <w:rsid w:val="0078444F"/>
    <w:rsid w:val="007853A1"/>
    <w:rsid w:val="00790225"/>
    <w:rsid w:val="00791946"/>
    <w:rsid w:val="00791CDC"/>
    <w:rsid w:val="00792FE1"/>
    <w:rsid w:val="0079662E"/>
    <w:rsid w:val="00796A1F"/>
    <w:rsid w:val="007A010E"/>
    <w:rsid w:val="007A106B"/>
    <w:rsid w:val="007A2359"/>
    <w:rsid w:val="007A2EC9"/>
    <w:rsid w:val="007A3778"/>
    <w:rsid w:val="007A4825"/>
    <w:rsid w:val="007A6CB5"/>
    <w:rsid w:val="007A70DB"/>
    <w:rsid w:val="007A7484"/>
    <w:rsid w:val="007A7838"/>
    <w:rsid w:val="007A7EA0"/>
    <w:rsid w:val="007B1471"/>
    <w:rsid w:val="007B210E"/>
    <w:rsid w:val="007B25D2"/>
    <w:rsid w:val="007B2C44"/>
    <w:rsid w:val="007B2FBD"/>
    <w:rsid w:val="007B3A21"/>
    <w:rsid w:val="007B49B9"/>
    <w:rsid w:val="007B4C3F"/>
    <w:rsid w:val="007C07F8"/>
    <w:rsid w:val="007C49DB"/>
    <w:rsid w:val="007C5DEF"/>
    <w:rsid w:val="007C7D42"/>
    <w:rsid w:val="007D0145"/>
    <w:rsid w:val="007D1BC3"/>
    <w:rsid w:val="007D3C65"/>
    <w:rsid w:val="007D4AFF"/>
    <w:rsid w:val="007D52B5"/>
    <w:rsid w:val="007D5803"/>
    <w:rsid w:val="007D590C"/>
    <w:rsid w:val="007D6211"/>
    <w:rsid w:val="007E07C9"/>
    <w:rsid w:val="007E1168"/>
    <w:rsid w:val="007E140F"/>
    <w:rsid w:val="007E159D"/>
    <w:rsid w:val="007E6D31"/>
    <w:rsid w:val="007F1873"/>
    <w:rsid w:val="007F2254"/>
    <w:rsid w:val="007F418D"/>
    <w:rsid w:val="007F4D72"/>
    <w:rsid w:val="007F6072"/>
    <w:rsid w:val="007F6619"/>
    <w:rsid w:val="007F7321"/>
    <w:rsid w:val="007F798E"/>
    <w:rsid w:val="007F7AF1"/>
    <w:rsid w:val="00802AC0"/>
    <w:rsid w:val="008033FD"/>
    <w:rsid w:val="00804EFC"/>
    <w:rsid w:val="0080584C"/>
    <w:rsid w:val="00805A41"/>
    <w:rsid w:val="00806F88"/>
    <w:rsid w:val="0080742D"/>
    <w:rsid w:val="008078E9"/>
    <w:rsid w:val="008101BB"/>
    <w:rsid w:val="00811349"/>
    <w:rsid w:val="00811C99"/>
    <w:rsid w:val="008137DF"/>
    <w:rsid w:val="0081582C"/>
    <w:rsid w:val="00816570"/>
    <w:rsid w:val="00816AAE"/>
    <w:rsid w:val="00817BDA"/>
    <w:rsid w:val="00817E1B"/>
    <w:rsid w:val="00821362"/>
    <w:rsid w:val="00823077"/>
    <w:rsid w:val="00823C97"/>
    <w:rsid w:val="00824932"/>
    <w:rsid w:val="00825588"/>
    <w:rsid w:val="00825DA5"/>
    <w:rsid w:val="0082614F"/>
    <w:rsid w:val="0082732D"/>
    <w:rsid w:val="00833F2B"/>
    <w:rsid w:val="00835788"/>
    <w:rsid w:val="00835A19"/>
    <w:rsid w:val="00835A76"/>
    <w:rsid w:val="0083605F"/>
    <w:rsid w:val="00836B4E"/>
    <w:rsid w:val="00837990"/>
    <w:rsid w:val="008410FE"/>
    <w:rsid w:val="008411F2"/>
    <w:rsid w:val="00842BCA"/>
    <w:rsid w:val="00842C3B"/>
    <w:rsid w:val="00847931"/>
    <w:rsid w:val="008479F8"/>
    <w:rsid w:val="00852F01"/>
    <w:rsid w:val="00854B6E"/>
    <w:rsid w:val="00855D23"/>
    <w:rsid w:val="00857F51"/>
    <w:rsid w:val="00860AD1"/>
    <w:rsid w:val="00860B25"/>
    <w:rsid w:val="008619A1"/>
    <w:rsid w:val="008622D3"/>
    <w:rsid w:val="00862FCE"/>
    <w:rsid w:val="008630D8"/>
    <w:rsid w:val="008637A0"/>
    <w:rsid w:val="00863C4C"/>
    <w:rsid w:val="00863D34"/>
    <w:rsid w:val="0086433B"/>
    <w:rsid w:val="00865C4F"/>
    <w:rsid w:val="00866BE5"/>
    <w:rsid w:val="00867B29"/>
    <w:rsid w:val="0087048B"/>
    <w:rsid w:val="008704FC"/>
    <w:rsid w:val="00871A6F"/>
    <w:rsid w:val="00871D6F"/>
    <w:rsid w:val="0087242A"/>
    <w:rsid w:val="00872769"/>
    <w:rsid w:val="008740C0"/>
    <w:rsid w:val="0087503E"/>
    <w:rsid w:val="00875966"/>
    <w:rsid w:val="008765FC"/>
    <w:rsid w:val="00876E06"/>
    <w:rsid w:val="00880393"/>
    <w:rsid w:val="008813EB"/>
    <w:rsid w:val="00881F17"/>
    <w:rsid w:val="008821F4"/>
    <w:rsid w:val="008833A6"/>
    <w:rsid w:val="008839F4"/>
    <w:rsid w:val="00884EE9"/>
    <w:rsid w:val="00885D39"/>
    <w:rsid w:val="00890A64"/>
    <w:rsid w:val="008919F7"/>
    <w:rsid w:val="0089232F"/>
    <w:rsid w:val="00892AA6"/>
    <w:rsid w:val="00894187"/>
    <w:rsid w:val="008955E0"/>
    <w:rsid w:val="00895A54"/>
    <w:rsid w:val="00896224"/>
    <w:rsid w:val="00896601"/>
    <w:rsid w:val="00896D66"/>
    <w:rsid w:val="0089772A"/>
    <w:rsid w:val="008978E8"/>
    <w:rsid w:val="008A0E6D"/>
    <w:rsid w:val="008A1195"/>
    <w:rsid w:val="008A1B24"/>
    <w:rsid w:val="008A21FE"/>
    <w:rsid w:val="008A2AA8"/>
    <w:rsid w:val="008A380B"/>
    <w:rsid w:val="008A542F"/>
    <w:rsid w:val="008A5923"/>
    <w:rsid w:val="008B0449"/>
    <w:rsid w:val="008B4BA6"/>
    <w:rsid w:val="008B7D10"/>
    <w:rsid w:val="008C2723"/>
    <w:rsid w:val="008C3B3B"/>
    <w:rsid w:val="008C43C1"/>
    <w:rsid w:val="008C5E9F"/>
    <w:rsid w:val="008C5EB0"/>
    <w:rsid w:val="008D2A65"/>
    <w:rsid w:val="008D2A9F"/>
    <w:rsid w:val="008D3E00"/>
    <w:rsid w:val="008D3E82"/>
    <w:rsid w:val="008D46BD"/>
    <w:rsid w:val="008D4F9C"/>
    <w:rsid w:val="008D6366"/>
    <w:rsid w:val="008E1168"/>
    <w:rsid w:val="008E17AF"/>
    <w:rsid w:val="008E1B5B"/>
    <w:rsid w:val="008E2EC5"/>
    <w:rsid w:val="008E324A"/>
    <w:rsid w:val="008E36C4"/>
    <w:rsid w:val="008E4E8F"/>
    <w:rsid w:val="008E5ABD"/>
    <w:rsid w:val="008E61AB"/>
    <w:rsid w:val="008E631A"/>
    <w:rsid w:val="008E6376"/>
    <w:rsid w:val="008E6ACF"/>
    <w:rsid w:val="008E70C2"/>
    <w:rsid w:val="008E72ED"/>
    <w:rsid w:val="008E7C73"/>
    <w:rsid w:val="008F05CB"/>
    <w:rsid w:val="008F1E3E"/>
    <w:rsid w:val="008F3075"/>
    <w:rsid w:val="008F3D17"/>
    <w:rsid w:val="008F5343"/>
    <w:rsid w:val="008F567E"/>
    <w:rsid w:val="008F56EE"/>
    <w:rsid w:val="008F5F49"/>
    <w:rsid w:val="008F6C3E"/>
    <w:rsid w:val="008F7C70"/>
    <w:rsid w:val="00900459"/>
    <w:rsid w:val="00901C47"/>
    <w:rsid w:val="0090233A"/>
    <w:rsid w:val="009028E5"/>
    <w:rsid w:val="00903311"/>
    <w:rsid w:val="00904467"/>
    <w:rsid w:val="00904936"/>
    <w:rsid w:val="00905C87"/>
    <w:rsid w:val="00906438"/>
    <w:rsid w:val="009078F6"/>
    <w:rsid w:val="00910775"/>
    <w:rsid w:val="00910809"/>
    <w:rsid w:val="00910F67"/>
    <w:rsid w:val="00912AB0"/>
    <w:rsid w:val="009138D0"/>
    <w:rsid w:val="009161C8"/>
    <w:rsid w:val="009164D4"/>
    <w:rsid w:val="00916A7B"/>
    <w:rsid w:val="00916F15"/>
    <w:rsid w:val="009200C3"/>
    <w:rsid w:val="00921994"/>
    <w:rsid w:val="00921D35"/>
    <w:rsid w:val="009236A2"/>
    <w:rsid w:val="009250CB"/>
    <w:rsid w:val="00925222"/>
    <w:rsid w:val="009255D4"/>
    <w:rsid w:val="009256C3"/>
    <w:rsid w:val="00925FF1"/>
    <w:rsid w:val="00927B90"/>
    <w:rsid w:val="009309B3"/>
    <w:rsid w:val="00931782"/>
    <w:rsid w:val="00931E19"/>
    <w:rsid w:val="00932226"/>
    <w:rsid w:val="0093308F"/>
    <w:rsid w:val="009346F5"/>
    <w:rsid w:val="0093479D"/>
    <w:rsid w:val="00936EE6"/>
    <w:rsid w:val="0093753C"/>
    <w:rsid w:val="00937542"/>
    <w:rsid w:val="00940CA8"/>
    <w:rsid w:val="00941A37"/>
    <w:rsid w:val="009432FB"/>
    <w:rsid w:val="009447FA"/>
    <w:rsid w:val="0094599D"/>
    <w:rsid w:val="00950515"/>
    <w:rsid w:val="0095086C"/>
    <w:rsid w:val="00950EE7"/>
    <w:rsid w:val="00951CD7"/>
    <w:rsid w:val="009532F2"/>
    <w:rsid w:val="009543FC"/>
    <w:rsid w:val="009573E0"/>
    <w:rsid w:val="00957535"/>
    <w:rsid w:val="0096026E"/>
    <w:rsid w:val="00960C40"/>
    <w:rsid w:val="00962C1B"/>
    <w:rsid w:val="00963696"/>
    <w:rsid w:val="009640E6"/>
    <w:rsid w:val="0096422E"/>
    <w:rsid w:val="00964C3D"/>
    <w:rsid w:val="00964F65"/>
    <w:rsid w:val="00965291"/>
    <w:rsid w:val="00966670"/>
    <w:rsid w:val="0096683F"/>
    <w:rsid w:val="00967F40"/>
    <w:rsid w:val="0097033D"/>
    <w:rsid w:val="00970E46"/>
    <w:rsid w:val="00971339"/>
    <w:rsid w:val="0097280D"/>
    <w:rsid w:val="00972E11"/>
    <w:rsid w:val="00972FC2"/>
    <w:rsid w:val="00974C8B"/>
    <w:rsid w:val="00975FE0"/>
    <w:rsid w:val="00982780"/>
    <w:rsid w:val="00983ADB"/>
    <w:rsid w:val="00983ED4"/>
    <w:rsid w:val="00984C95"/>
    <w:rsid w:val="00985F93"/>
    <w:rsid w:val="00993D15"/>
    <w:rsid w:val="00994769"/>
    <w:rsid w:val="00994E37"/>
    <w:rsid w:val="0099522A"/>
    <w:rsid w:val="00995D34"/>
    <w:rsid w:val="00995F12"/>
    <w:rsid w:val="00996095"/>
    <w:rsid w:val="009972C7"/>
    <w:rsid w:val="009975DF"/>
    <w:rsid w:val="00997683"/>
    <w:rsid w:val="00997956"/>
    <w:rsid w:val="00997A8E"/>
    <w:rsid w:val="00997E2B"/>
    <w:rsid w:val="009A0185"/>
    <w:rsid w:val="009A06D6"/>
    <w:rsid w:val="009A1ED2"/>
    <w:rsid w:val="009A2AF8"/>
    <w:rsid w:val="009A31AF"/>
    <w:rsid w:val="009A362C"/>
    <w:rsid w:val="009B0C6E"/>
    <w:rsid w:val="009B51ED"/>
    <w:rsid w:val="009B75EB"/>
    <w:rsid w:val="009C14C2"/>
    <w:rsid w:val="009C152C"/>
    <w:rsid w:val="009C1730"/>
    <w:rsid w:val="009C36D3"/>
    <w:rsid w:val="009C3A62"/>
    <w:rsid w:val="009C49B4"/>
    <w:rsid w:val="009C598B"/>
    <w:rsid w:val="009D006B"/>
    <w:rsid w:val="009D12B9"/>
    <w:rsid w:val="009D1C08"/>
    <w:rsid w:val="009D1D17"/>
    <w:rsid w:val="009D22B9"/>
    <w:rsid w:val="009D2C54"/>
    <w:rsid w:val="009D34A3"/>
    <w:rsid w:val="009D399D"/>
    <w:rsid w:val="009D40E9"/>
    <w:rsid w:val="009D4274"/>
    <w:rsid w:val="009D4CF6"/>
    <w:rsid w:val="009D67F2"/>
    <w:rsid w:val="009E179C"/>
    <w:rsid w:val="009E1CCF"/>
    <w:rsid w:val="009E2DF1"/>
    <w:rsid w:val="009E2FE7"/>
    <w:rsid w:val="009E3A32"/>
    <w:rsid w:val="009E3C62"/>
    <w:rsid w:val="009E4D03"/>
    <w:rsid w:val="009E5AFD"/>
    <w:rsid w:val="009E5D09"/>
    <w:rsid w:val="009E6590"/>
    <w:rsid w:val="009F02FA"/>
    <w:rsid w:val="009F04EC"/>
    <w:rsid w:val="009F07C1"/>
    <w:rsid w:val="009F0981"/>
    <w:rsid w:val="009F124D"/>
    <w:rsid w:val="009F1289"/>
    <w:rsid w:val="009F1D10"/>
    <w:rsid w:val="009F25FA"/>
    <w:rsid w:val="009F2742"/>
    <w:rsid w:val="009F37D4"/>
    <w:rsid w:val="009F3CE9"/>
    <w:rsid w:val="009F622C"/>
    <w:rsid w:val="009F6846"/>
    <w:rsid w:val="009F6FC9"/>
    <w:rsid w:val="009F7B96"/>
    <w:rsid w:val="00A00429"/>
    <w:rsid w:val="00A00729"/>
    <w:rsid w:val="00A007EF"/>
    <w:rsid w:val="00A0357E"/>
    <w:rsid w:val="00A042A4"/>
    <w:rsid w:val="00A0494C"/>
    <w:rsid w:val="00A04C86"/>
    <w:rsid w:val="00A06629"/>
    <w:rsid w:val="00A06706"/>
    <w:rsid w:val="00A076B1"/>
    <w:rsid w:val="00A079E9"/>
    <w:rsid w:val="00A07E62"/>
    <w:rsid w:val="00A106E1"/>
    <w:rsid w:val="00A117D5"/>
    <w:rsid w:val="00A11F2A"/>
    <w:rsid w:val="00A13089"/>
    <w:rsid w:val="00A14266"/>
    <w:rsid w:val="00A142E0"/>
    <w:rsid w:val="00A14544"/>
    <w:rsid w:val="00A14E73"/>
    <w:rsid w:val="00A15121"/>
    <w:rsid w:val="00A159A9"/>
    <w:rsid w:val="00A20385"/>
    <w:rsid w:val="00A2157C"/>
    <w:rsid w:val="00A21CEB"/>
    <w:rsid w:val="00A242F1"/>
    <w:rsid w:val="00A2598C"/>
    <w:rsid w:val="00A262A7"/>
    <w:rsid w:val="00A266CC"/>
    <w:rsid w:val="00A26938"/>
    <w:rsid w:val="00A271D4"/>
    <w:rsid w:val="00A27463"/>
    <w:rsid w:val="00A31819"/>
    <w:rsid w:val="00A324A2"/>
    <w:rsid w:val="00A324E6"/>
    <w:rsid w:val="00A329C7"/>
    <w:rsid w:val="00A3440E"/>
    <w:rsid w:val="00A3482B"/>
    <w:rsid w:val="00A34CBB"/>
    <w:rsid w:val="00A354A4"/>
    <w:rsid w:val="00A364C8"/>
    <w:rsid w:val="00A36E1F"/>
    <w:rsid w:val="00A4156E"/>
    <w:rsid w:val="00A41590"/>
    <w:rsid w:val="00A424D6"/>
    <w:rsid w:val="00A42D2D"/>
    <w:rsid w:val="00A42F9D"/>
    <w:rsid w:val="00A43316"/>
    <w:rsid w:val="00A439C7"/>
    <w:rsid w:val="00A4691D"/>
    <w:rsid w:val="00A46F33"/>
    <w:rsid w:val="00A472E9"/>
    <w:rsid w:val="00A4783A"/>
    <w:rsid w:val="00A50687"/>
    <w:rsid w:val="00A51BEE"/>
    <w:rsid w:val="00A52FAF"/>
    <w:rsid w:val="00A5585F"/>
    <w:rsid w:val="00A55D6A"/>
    <w:rsid w:val="00A55F1F"/>
    <w:rsid w:val="00A5738D"/>
    <w:rsid w:val="00A604A1"/>
    <w:rsid w:val="00A60C23"/>
    <w:rsid w:val="00A61993"/>
    <w:rsid w:val="00A626A6"/>
    <w:rsid w:val="00A631DE"/>
    <w:rsid w:val="00A63517"/>
    <w:rsid w:val="00A63EF0"/>
    <w:rsid w:val="00A64276"/>
    <w:rsid w:val="00A65A2C"/>
    <w:rsid w:val="00A7040E"/>
    <w:rsid w:val="00A71501"/>
    <w:rsid w:val="00A71CCA"/>
    <w:rsid w:val="00A72BFA"/>
    <w:rsid w:val="00A7332E"/>
    <w:rsid w:val="00A7381C"/>
    <w:rsid w:val="00A748C2"/>
    <w:rsid w:val="00A74D81"/>
    <w:rsid w:val="00A75B19"/>
    <w:rsid w:val="00A7620F"/>
    <w:rsid w:val="00A765C4"/>
    <w:rsid w:val="00A77835"/>
    <w:rsid w:val="00A80036"/>
    <w:rsid w:val="00A81023"/>
    <w:rsid w:val="00A835DB"/>
    <w:rsid w:val="00A85279"/>
    <w:rsid w:val="00A86017"/>
    <w:rsid w:val="00A86C58"/>
    <w:rsid w:val="00A8718F"/>
    <w:rsid w:val="00A9048B"/>
    <w:rsid w:val="00A9049A"/>
    <w:rsid w:val="00A910B8"/>
    <w:rsid w:val="00A91A08"/>
    <w:rsid w:val="00A9498A"/>
    <w:rsid w:val="00A95B13"/>
    <w:rsid w:val="00AA08E0"/>
    <w:rsid w:val="00AA0BD9"/>
    <w:rsid w:val="00AA14CE"/>
    <w:rsid w:val="00AA2111"/>
    <w:rsid w:val="00AA3DE9"/>
    <w:rsid w:val="00AA4D83"/>
    <w:rsid w:val="00AA6669"/>
    <w:rsid w:val="00AB3593"/>
    <w:rsid w:val="00AB660D"/>
    <w:rsid w:val="00AB69CB"/>
    <w:rsid w:val="00AB7477"/>
    <w:rsid w:val="00AC05B5"/>
    <w:rsid w:val="00AC0AA2"/>
    <w:rsid w:val="00AC1EF7"/>
    <w:rsid w:val="00AC27C1"/>
    <w:rsid w:val="00AC3466"/>
    <w:rsid w:val="00AC58B9"/>
    <w:rsid w:val="00AD2300"/>
    <w:rsid w:val="00AD24E0"/>
    <w:rsid w:val="00AD47C6"/>
    <w:rsid w:val="00AD4D58"/>
    <w:rsid w:val="00AD5559"/>
    <w:rsid w:val="00AD594C"/>
    <w:rsid w:val="00AD6CE0"/>
    <w:rsid w:val="00AD6DB8"/>
    <w:rsid w:val="00AD777B"/>
    <w:rsid w:val="00AE05CC"/>
    <w:rsid w:val="00AE291E"/>
    <w:rsid w:val="00AE2A09"/>
    <w:rsid w:val="00AE3903"/>
    <w:rsid w:val="00AE3983"/>
    <w:rsid w:val="00AE3BE7"/>
    <w:rsid w:val="00AE3E26"/>
    <w:rsid w:val="00AE41A4"/>
    <w:rsid w:val="00AE4F9D"/>
    <w:rsid w:val="00AE63E1"/>
    <w:rsid w:val="00AE7C9D"/>
    <w:rsid w:val="00AF16E9"/>
    <w:rsid w:val="00AF2C46"/>
    <w:rsid w:val="00AF2DD8"/>
    <w:rsid w:val="00AF332B"/>
    <w:rsid w:val="00AF351D"/>
    <w:rsid w:val="00AF3814"/>
    <w:rsid w:val="00AF38B6"/>
    <w:rsid w:val="00AF3A52"/>
    <w:rsid w:val="00AF5DCF"/>
    <w:rsid w:val="00AF692E"/>
    <w:rsid w:val="00AF7EC1"/>
    <w:rsid w:val="00B03B1C"/>
    <w:rsid w:val="00B107B4"/>
    <w:rsid w:val="00B10FED"/>
    <w:rsid w:val="00B14651"/>
    <w:rsid w:val="00B14D15"/>
    <w:rsid w:val="00B150EC"/>
    <w:rsid w:val="00B1537D"/>
    <w:rsid w:val="00B155A7"/>
    <w:rsid w:val="00B1668D"/>
    <w:rsid w:val="00B166E1"/>
    <w:rsid w:val="00B167F8"/>
    <w:rsid w:val="00B16882"/>
    <w:rsid w:val="00B17BB3"/>
    <w:rsid w:val="00B21308"/>
    <w:rsid w:val="00B21D11"/>
    <w:rsid w:val="00B2423B"/>
    <w:rsid w:val="00B24E62"/>
    <w:rsid w:val="00B264BE"/>
    <w:rsid w:val="00B276DC"/>
    <w:rsid w:val="00B30380"/>
    <w:rsid w:val="00B309C4"/>
    <w:rsid w:val="00B30F88"/>
    <w:rsid w:val="00B31C4E"/>
    <w:rsid w:val="00B35E08"/>
    <w:rsid w:val="00B3650D"/>
    <w:rsid w:val="00B3658C"/>
    <w:rsid w:val="00B37666"/>
    <w:rsid w:val="00B40218"/>
    <w:rsid w:val="00B40A86"/>
    <w:rsid w:val="00B40B89"/>
    <w:rsid w:val="00B4190D"/>
    <w:rsid w:val="00B41D81"/>
    <w:rsid w:val="00B421F2"/>
    <w:rsid w:val="00B42275"/>
    <w:rsid w:val="00B43023"/>
    <w:rsid w:val="00B43DEA"/>
    <w:rsid w:val="00B44A88"/>
    <w:rsid w:val="00B45FCF"/>
    <w:rsid w:val="00B463F5"/>
    <w:rsid w:val="00B475D7"/>
    <w:rsid w:val="00B47DA9"/>
    <w:rsid w:val="00B50EDD"/>
    <w:rsid w:val="00B52383"/>
    <w:rsid w:val="00B526E0"/>
    <w:rsid w:val="00B54A87"/>
    <w:rsid w:val="00B55A28"/>
    <w:rsid w:val="00B569FA"/>
    <w:rsid w:val="00B60539"/>
    <w:rsid w:val="00B60C00"/>
    <w:rsid w:val="00B629A8"/>
    <w:rsid w:val="00B62F50"/>
    <w:rsid w:val="00B63D27"/>
    <w:rsid w:val="00B651B9"/>
    <w:rsid w:val="00B65213"/>
    <w:rsid w:val="00B6630C"/>
    <w:rsid w:val="00B712D8"/>
    <w:rsid w:val="00B71810"/>
    <w:rsid w:val="00B72120"/>
    <w:rsid w:val="00B73481"/>
    <w:rsid w:val="00B744A0"/>
    <w:rsid w:val="00B74534"/>
    <w:rsid w:val="00B74942"/>
    <w:rsid w:val="00B77B80"/>
    <w:rsid w:val="00B81421"/>
    <w:rsid w:val="00B81680"/>
    <w:rsid w:val="00B82418"/>
    <w:rsid w:val="00B829B7"/>
    <w:rsid w:val="00B82FF2"/>
    <w:rsid w:val="00B83BDA"/>
    <w:rsid w:val="00B8434B"/>
    <w:rsid w:val="00B8497F"/>
    <w:rsid w:val="00B85ACE"/>
    <w:rsid w:val="00B86E99"/>
    <w:rsid w:val="00B87A9C"/>
    <w:rsid w:val="00B87D2D"/>
    <w:rsid w:val="00B92A79"/>
    <w:rsid w:val="00B92D61"/>
    <w:rsid w:val="00B93306"/>
    <w:rsid w:val="00B96AB3"/>
    <w:rsid w:val="00BA02DF"/>
    <w:rsid w:val="00BA030A"/>
    <w:rsid w:val="00BA0AB9"/>
    <w:rsid w:val="00BA0C76"/>
    <w:rsid w:val="00BA119F"/>
    <w:rsid w:val="00BA1878"/>
    <w:rsid w:val="00BA230C"/>
    <w:rsid w:val="00BA2678"/>
    <w:rsid w:val="00BA2F85"/>
    <w:rsid w:val="00BA47A6"/>
    <w:rsid w:val="00BA549D"/>
    <w:rsid w:val="00BA639B"/>
    <w:rsid w:val="00BA6E4B"/>
    <w:rsid w:val="00BA761F"/>
    <w:rsid w:val="00BA7724"/>
    <w:rsid w:val="00BB0735"/>
    <w:rsid w:val="00BB0CFB"/>
    <w:rsid w:val="00BB1336"/>
    <w:rsid w:val="00BB1B4E"/>
    <w:rsid w:val="00BB1E59"/>
    <w:rsid w:val="00BB2F87"/>
    <w:rsid w:val="00BB32F4"/>
    <w:rsid w:val="00BB3528"/>
    <w:rsid w:val="00BB3CCE"/>
    <w:rsid w:val="00BB3F33"/>
    <w:rsid w:val="00BB55A4"/>
    <w:rsid w:val="00BB5F70"/>
    <w:rsid w:val="00BB690F"/>
    <w:rsid w:val="00BB755B"/>
    <w:rsid w:val="00BC04A2"/>
    <w:rsid w:val="00BC3054"/>
    <w:rsid w:val="00BC315D"/>
    <w:rsid w:val="00BC390D"/>
    <w:rsid w:val="00BC39AE"/>
    <w:rsid w:val="00BC3AE8"/>
    <w:rsid w:val="00BC3E60"/>
    <w:rsid w:val="00BC42A1"/>
    <w:rsid w:val="00BC4454"/>
    <w:rsid w:val="00BC588B"/>
    <w:rsid w:val="00BC5FB6"/>
    <w:rsid w:val="00BC69A7"/>
    <w:rsid w:val="00BC70CA"/>
    <w:rsid w:val="00BC72F4"/>
    <w:rsid w:val="00BC7F21"/>
    <w:rsid w:val="00BD0488"/>
    <w:rsid w:val="00BD1096"/>
    <w:rsid w:val="00BD2986"/>
    <w:rsid w:val="00BD4D94"/>
    <w:rsid w:val="00BD4FB7"/>
    <w:rsid w:val="00BD5AF7"/>
    <w:rsid w:val="00BD6468"/>
    <w:rsid w:val="00BD6E48"/>
    <w:rsid w:val="00BD76AC"/>
    <w:rsid w:val="00BE06E5"/>
    <w:rsid w:val="00BE332F"/>
    <w:rsid w:val="00BE584B"/>
    <w:rsid w:val="00BE77B8"/>
    <w:rsid w:val="00BF005C"/>
    <w:rsid w:val="00BF0B1C"/>
    <w:rsid w:val="00BF165A"/>
    <w:rsid w:val="00BF29B9"/>
    <w:rsid w:val="00BF6941"/>
    <w:rsid w:val="00BF7549"/>
    <w:rsid w:val="00C000CA"/>
    <w:rsid w:val="00C00500"/>
    <w:rsid w:val="00C01084"/>
    <w:rsid w:val="00C011AF"/>
    <w:rsid w:val="00C016FD"/>
    <w:rsid w:val="00C024F7"/>
    <w:rsid w:val="00C02EDA"/>
    <w:rsid w:val="00C03237"/>
    <w:rsid w:val="00C04462"/>
    <w:rsid w:val="00C05614"/>
    <w:rsid w:val="00C0565E"/>
    <w:rsid w:val="00C0578D"/>
    <w:rsid w:val="00C07547"/>
    <w:rsid w:val="00C07DAC"/>
    <w:rsid w:val="00C10098"/>
    <w:rsid w:val="00C10A53"/>
    <w:rsid w:val="00C13720"/>
    <w:rsid w:val="00C137FE"/>
    <w:rsid w:val="00C13987"/>
    <w:rsid w:val="00C14058"/>
    <w:rsid w:val="00C1464D"/>
    <w:rsid w:val="00C15859"/>
    <w:rsid w:val="00C159F7"/>
    <w:rsid w:val="00C17D58"/>
    <w:rsid w:val="00C20D75"/>
    <w:rsid w:val="00C21EC8"/>
    <w:rsid w:val="00C221B7"/>
    <w:rsid w:val="00C22CDB"/>
    <w:rsid w:val="00C22FB1"/>
    <w:rsid w:val="00C2466C"/>
    <w:rsid w:val="00C25058"/>
    <w:rsid w:val="00C265E7"/>
    <w:rsid w:val="00C26894"/>
    <w:rsid w:val="00C269A0"/>
    <w:rsid w:val="00C27C34"/>
    <w:rsid w:val="00C310FE"/>
    <w:rsid w:val="00C314FA"/>
    <w:rsid w:val="00C32070"/>
    <w:rsid w:val="00C330B1"/>
    <w:rsid w:val="00C3432D"/>
    <w:rsid w:val="00C36B53"/>
    <w:rsid w:val="00C36D40"/>
    <w:rsid w:val="00C4069A"/>
    <w:rsid w:val="00C410ED"/>
    <w:rsid w:val="00C41532"/>
    <w:rsid w:val="00C43470"/>
    <w:rsid w:val="00C44815"/>
    <w:rsid w:val="00C44832"/>
    <w:rsid w:val="00C449FC"/>
    <w:rsid w:val="00C47C19"/>
    <w:rsid w:val="00C515A9"/>
    <w:rsid w:val="00C5384F"/>
    <w:rsid w:val="00C542BA"/>
    <w:rsid w:val="00C54CB2"/>
    <w:rsid w:val="00C56A50"/>
    <w:rsid w:val="00C577C1"/>
    <w:rsid w:val="00C60039"/>
    <w:rsid w:val="00C600A9"/>
    <w:rsid w:val="00C612C0"/>
    <w:rsid w:val="00C61FE9"/>
    <w:rsid w:val="00C64F93"/>
    <w:rsid w:val="00C65F92"/>
    <w:rsid w:val="00C6715B"/>
    <w:rsid w:val="00C67AA9"/>
    <w:rsid w:val="00C70440"/>
    <w:rsid w:val="00C7148E"/>
    <w:rsid w:val="00C71B10"/>
    <w:rsid w:val="00C721BB"/>
    <w:rsid w:val="00C72AE8"/>
    <w:rsid w:val="00C73BDB"/>
    <w:rsid w:val="00C73E50"/>
    <w:rsid w:val="00C7565E"/>
    <w:rsid w:val="00C76FF6"/>
    <w:rsid w:val="00C80680"/>
    <w:rsid w:val="00C80C4A"/>
    <w:rsid w:val="00C81137"/>
    <w:rsid w:val="00C82D6F"/>
    <w:rsid w:val="00C834E1"/>
    <w:rsid w:val="00C86344"/>
    <w:rsid w:val="00C864C4"/>
    <w:rsid w:val="00C86B81"/>
    <w:rsid w:val="00C871B3"/>
    <w:rsid w:val="00C91DCD"/>
    <w:rsid w:val="00C92D61"/>
    <w:rsid w:val="00C95E8D"/>
    <w:rsid w:val="00C97B19"/>
    <w:rsid w:val="00CA2651"/>
    <w:rsid w:val="00CA268A"/>
    <w:rsid w:val="00CA322F"/>
    <w:rsid w:val="00CA399E"/>
    <w:rsid w:val="00CA51D0"/>
    <w:rsid w:val="00CA5A2D"/>
    <w:rsid w:val="00CA5AE9"/>
    <w:rsid w:val="00CA6382"/>
    <w:rsid w:val="00CA6FBF"/>
    <w:rsid w:val="00CA7630"/>
    <w:rsid w:val="00CB021B"/>
    <w:rsid w:val="00CB1317"/>
    <w:rsid w:val="00CB25FD"/>
    <w:rsid w:val="00CB2E2B"/>
    <w:rsid w:val="00CB385A"/>
    <w:rsid w:val="00CB3A9D"/>
    <w:rsid w:val="00CB3E62"/>
    <w:rsid w:val="00CB6214"/>
    <w:rsid w:val="00CB7581"/>
    <w:rsid w:val="00CC06E3"/>
    <w:rsid w:val="00CC1916"/>
    <w:rsid w:val="00CC3306"/>
    <w:rsid w:val="00CC4909"/>
    <w:rsid w:val="00CC67A8"/>
    <w:rsid w:val="00CD0237"/>
    <w:rsid w:val="00CD25A8"/>
    <w:rsid w:val="00CD2CD8"/>
    <w:rsid w:val="00CD3D26"/>
    <w:rsid w:val="00CD4A51"/>
    <w:rsid w:val="00CD4B64"/>
    <w:rsid w:val="00CD6603"/>
    <w:rsid w:val="00CD714C"/>
    <w:rsid w:val="00CD732A"/>
    <w:rsid w:val="00CD7413"/>
    <w:rsid w:val="00CD7A78"/>
    <w:rsid w:val="00CE1B0B"/>
    <w:rsid w:val="00CE1E17"/>
    <w:rsid w:val="00CE2ECE"/>
    <w:rsid w:val="00CE4BD1"/>
    <w:rsid w:val="00CE4E46"/>
    <w:rsid w:val="00CE5DEE"/>
    <w:rsid w:val="00CE6059"/>
    <w:rsid w:val="00CE73D6"/>
    <w:rsid w:val="00CF0900"/>
    <w:rsid w:val="00CF1823"/>
    <w:rsid w:val="00CF3A91"/>
    <w:rsid w:val="00CF5245"/>
    <w:rsid w:val="00CF71B4"/>
    <w:rsid w:val="00CF7F3C"/>
    <w:rsid w:val="00D00C8A"/>
    <w:rsid w:val="00D028AE"/>
    <w:rsid w:val="00D0309B"/>
    <w:rsid w:val="00D04CBE"/>
    <w:rsid w:val="00D05299"/>
    <w:rsid w:val="00D05953"/>
    <w:rsid w:val="00D05F56"/>
    <w:rsid w:val="00D0625C"/>
    <w:rsid w:val="00D109A8"/>
    <w:rsid w:val="00D10B30"/>
    <w:rsid w:val="00D11527"/>
    <w:rsid w:val="00D12032"/>
    <w:rsid w:val="00D12FCB"/>
    <w:rsid w:val="00D14676"/>
    <w:rsid w:val="00D146EA"/>
    <w:rsid w:val="00D1497C"/>
    <w:rsid w:val="00D16C98"/>
    <w:rsid w:val="00D201CC"/>
    <w:rsid w:val="00D223AC"/>
    <w:rsid w:val="00D23B2F"/>
    <w:rsid w:val="00D256DE"/>
    <w:rsid w:val="00D25EAD"/>
    <w:rsid w:val="00D30AE5"/>
    <w:rsid w:val="00D333F8"/>
    <w:rsid w:val="00D35365"/>
    <w:rsid w:val="00D37102"/>
    <w:rsid w:val="00D4056F"/>
    <w:rsid w:val="00D40885"/>
    <w:rsid w:val="00D40BC4"/>
    <w:rsid w:val="00D40C52"/>
    <w:rsid w:val="00D41160"/>
    <w:rsid w:val="00D426B3"/>
    <w:rsid w:val="00D45689"/>
    <w:rsid w:val="00D46083"/>
    <w:rsid w:val="00D4672E"/>
    <w:rsid w:val="00D472FB"/>
    <w:rsid w:val="00D50254"/>
    <w:rsid w:val="00D51EEE"/>
    <w:rsid w:val="00D52B65"/>
    <w:rsid w:val="00D54AE4"/>
    <w:rsid w:val="00D55A49"/>
    <w:rsid w:val="00D56240"/>
    <w:rsid w:val="00D56A09"/>
    <w:rsid w:val="00D621AD"/>
    <w:rsid w:val="00D6234B"/>
    <w:rsid w:val="00D62567"/>
    <w:rsid w:val="00D626F3"/>
    <w:rsid w:val="00D63E58"/>
    <w:rsid w:val="00D64F88"/>
    <w:rsid w:val="00D652D5"/>
    <w:rsid w:val="00D6728E"/>
    <w:rsid w:val="00D70C42"/>
    <w:rsid w:val="00D70D3E"/>
    <w:rsid w:val="00D712E2"/>
    <w:rsid w:val="00D72977"/>
    <w:rsid w:val="00D74F04"/>
    <w:rsid w:val="00D750FF"/>
    <w:rsid w:val="00D7602A"/>
    <w:rsid w:val="00D76883"/>
    <w:rsid w:val="00D80615"/>
    <w:rsid w:val="00D80AE6"/>
    <w:rsid w:val="00D826E8"/>
    <w:rsid w:val="00D834DC"/>
    <w:rsid w:val="00D835F8"/>
    <w:rsid w:val="00D85584"/>
    <w:rsid w:val="00D86127"/>
    <w:rsid w:val="00D86ED8"/>
    <w:rsid w:val="00D8735E"/>
    <w:rsid w:val="00D90059"/>
    <w:rsid w:val="00D906DC"/>
    <w:rsid w:val="00D910AD"/>
    <w:rsid w:val="00D910D1"/>
    <w:rsid w:val="00D91276"/>
    <w:rsid w:val="00D924EB"/>
    <w:rsid w:val="00D927D2"/>
    <w:rsid w:val="00D93211"/>
    <w:rsid w:val="00D933C5"/>
    <w:rsid w:val="00D96828"/>
    <w:rsid w:val="00D973C5"/>
    <w:rsid w:val="00DA1B75"/>
    <w:rsid w:val="00DA251A"/>
    <w:rsid w:val="00DA2CDC"/>
    <w:rsid w:val="00DA2F43"/>
    <w:rsid w:val="00DA3744"/>
    <w:rsid w:val="00DA3864"/>
    <w:rsid w:val="00DA40BA"/>
    <w:rsid w:val="00DA41EF"/>
    <w:rsid w:val="00DA4889"/>
    <w:rsid w:val="00DA674E"/>
    <w:rsid w:val="00DA6856"/>
    <w:rsid w:val="00DB0666"/>
    <w:rsid w:val="00DB1AF8"/>
    <w:rsid w:val="00DB2479"/>
    <w:rsid w:val="00DB2701"/>
    <w:rsid w:val="00DB3205"/>
    <w:rsid w:val="00DB3D8B"/>
    <w:rsid w:val="00DB48C3"/>
    <w:rsid w:val="00DB5F62"/>
    <w:rsid w:val="00DB647C"/>
    <w:rsid w:val="00DB68BF"/>
    <w:rsid w:val="00DB7A39"/>
    <w:rsid w:val="00DC008A"/>
    <w:rsid w:val="00DC0F1B"/>
    <w:rsid w:val="00DC0F46"/>
    <w:rsid w:val="00DC0F7D"/>
    <w:rsid w:val="00DC116F"/>
    <w:rsid w:val="00DC18D3"/>
    <w:rsid w:val="00DC3D23"/>
    <w:rsid w:val="00DC7D78"/>
    <w:rsid w:val="00DD055B"/>
    <w:rsid w:val="00DD0D15"/>
    <w:rsid w:val="00DD19C0"/>
    <w:rsid w:val="00DD19E8"/>
    <w:rsid w:val="00DD1D85"/>
    <w:rsid w:val="00DD1FFF"/>
    <w:rsid w:val="00DD3C3F"/>
    <w:rsid w:val="00DD5A2C"/>
    <w:rsid w:val="00DD71B0"/>
    <w:rsid w:val="00DD74C2"/>
    <w:rsid w:val="00DD771A"/>
    <w:rsid w:val="00DD7F2D"/>
    <w:rsid w:val="00DE049D"/>
    <w:rsid w:val="00DE0522"/>
    <w:rsid w:val="00DE08A3"/>
    <w:rsid w:val="00DE1C9B"/>
    <w:rsid w:val="00DE2F29"/>
    <w:rsid w:val="00DE33C3"/>
    <w:rsid w:val="00DE363B"/>
    <w:rsid w:val="00DE3879"/>
    <w:rsid w:val="00DE42B8"/>
    <w:rsid w:val="00DE4BF5"/>
    <w:rsid w:val="00DE5D40"/>
    <w:rsid w:val="00DE7D16"/>
    <w:rsid w:val="00DF0737"/>
    <w:rsid w:val="00DF0AE9"/>
    <w:rsid w:val="00DF1EA6"/>
    <w:rsid w:val="00DF5E5A"/>
    <w:rsid w:val="00DF6811"/>
    <w:rsid w:val="00E0013E"/>
    <w:rsid w:val="00E006D2"/>
    <w:rsid w:val="00E01B3B"/>
    <w:rsid w:val="00E02A47"/>
    <w:rsid w:val="00E0339D"/>
    <w:rsid w:val="00E034E6"/>
    <w:rsid w:val="00E03A9C"/>
    <w:rsid w:val="00E03DD7"/>
    <w:rsid w:val="00E03E07"/>
    <w:rsid w:val="00E0498B"/>
    <w:rsid w:val="00E07F41"/>
    <w:rsid w:val="00E10731"/>
    <w:rsid w:val="00E12F94"/>
    <w:rsid w:val="00E161F0"/>
    <w:rsid w:val="00E165A9"/>
    <w:rsid w:val="00E16DBA"/>
    <w:rsid w:val="00E17236"/>
    <w:rsid w:val="00E2193E"/>
    <w:rsid w:val="00E223E0"/>
    <w:rsid w:val="00E23219"/>
    <w:rsid w:val="00E241B6"/>
    <w:rsid w:val="00E244F8"/>
    <w:rsid w:val="00E248B4"/>
    <w:rsid w:val="00E24CF1"/>
    <w:rsid w:val="00E253AF"/>
    <w:rsid w:val="00E25A49"/>
    <w:rsid w:val="00E25E76"/>
    <w:rsid w:val="00E25E83"/>
    <w:rsid w:val="00E2602C"/>
    <w:rsid w:val="00E2669B"/>
    <w:rsid w:val="00E2679C"/>
    <w:rsid w:val="00E271C5"/>
    <w:rsid w:val="00E30ECE"/>
    <w:rsid w:val="00E30F05"/>
    <w:rsid w:val="00E31BD0"/>
    <w:rsid w:val="00E32230"/>
    <w:rsid w:val="00E32A50"/>
    <w:rsid w:val="00E33740"/>
    <w:rsid w:val="00E3525C"/>
    <w:rsid w:val="00E3537B"/>
    <w:rsid w:val="00E35AA0"/>
    <w:rsid w:val="00E35B91"/>
    <w:rsid w:val="00E36422"/>
    <w:rsid w:val="00E36C7A"/>
    <w:rsid w:val="00E40997"/>
    <w:rsid w:val="00E431D8"/>
    <w:rsid w:val="00E4378B"/>
    <w:rsid w:val="00E44304"/>
    <w:rsid w:val="00E45D95"/>
    <w:rsid w:val="00E477CF"/>
    <w:rsid w:val="00E50ABE"/>
    <w:rsid w:val="00E52885"/>
    <w:rsid w:val="00E5316A"/>
    <w:rsid w:val="00E53E6D"/>
    <w:rsid w:val="00E53F6C"/>
    <w:rsid w:val="00E54EB0"/>
    <w:rsid w:val="00E55EB2"/>
    <w:rsid w:val="00E57249"/>
    <w:rsid w:val="00E574D5"/>
    <w:rsid w:val="00E57D60"/>
    <w:rsid w:val="00E6032F"/>
    <w:rsid w:val="00E60D20"/>
    <w:rsid w:val="00E612C0"/>
    <w:rsid w:val="00E61CCD"/>
    <w:rsid w:val="00E627A1"/>
    <w:rsid w:val="00E62C9F"/>
    <w:rsid w:val="00E63C49"/>
    <w:rsid w:val="00E641F6"/>
    <w:rsid w:val="00E6441B"/>
    <w:rsid w:val="00E667C5"/>
    <w:rsid w:val="00E703C8"/>
    <w:rsid w:val="00E707CD"/>
    <w:rsid w:val="00E70DE4"/>
    <w:rsid w:val="00E70F23"/>
    <w:rsid w:val="00E71CC5"/>
    <w:rsid w:val="00E71D37"/>
    <w:rsid w:val="00E71FAC"/>
    <w:rsid w:val="00E73688"/>
    <w:rsid w:val="00E736C1"/>
    <w:rsid w:val="00E73972"/>
    <w:rsid w:val="00E75579"/>
    <w:rsid w:val="00E75A10"/>
    <w:rsid w:val="00E75C3F"/>
    <w:rsid w:val="00E764CF"/>
    <w:rsid w:val="00E77CAF"/>
    <w:rsid w:val="00E802CF"/>
    <w:rsid w:val="00E80E33"/>
    <w:rsid w:val="00E81040"/>
    <w:rsid w:val="00E81DBA"/>
    <w:rsid w:val="00E847AF"/>
    <w:rsid w:val="00E84AB7"/>
    <w:rsid w:val="00E85D25"/>
    <w:rsid w:val="00E87D17"/>
    <w:rsid w:val="00E903D3"/>
    <w:rsid w:val="00E90A4F"/>
    <w:rsid w:val="00E91BAB"/>
    <w:rsid w:val="00E9256F"/>
    <w:rsid w:val="00E93528"/>
    <w:rsid w:val="00E94134"/>
    <w:rsid w:val="00E944BC"/>
    <w:rsid w:val="00E95B68"/>
    <w:rsid w:val="00EA1558"/>
    <w:rsid w:val="00EA1E85"/>
    <w:rsid w:val="00EA26F4"/>
    <w:rsid w:val="00EA4543"/>
    <w:rsid w:val="00EA478F"/>
    <w:rsid w:val="00EA6C7C"/>
    <w:rsid w:val="00EA7B4A"/>
    <w:rsid w:val="00EB01DA"/>
    <w:rsid w:val="00EB1F0B"/>
    <w:rsid w:val="00EB22ED"/>
    <w:rsid w:val="00EB2739"/>
    <w:rsid w:val="00EB3BDF"/>
    <w:rsid w:val="00EB42FE"/>
    <w:rsid w:val="00EB453F"/>
    <w:rsid w:val="00EB6DE6"/>
    <w:rsid w:val="00EB7790"/>
    <w:rsid w:val="00EC13B2"/>
    <w:rsid w:val="00EC3877"/>
    <w:rsid w:val="00EC38BD"/>
    <w:rsid w:val="00EC7F29"/>
    <w:rsid w:val="00ED02AA"/>
    <w:rsid w:val="00ED1294"/>
    <w:rsid w:val="00ED12B8"/>
    <w:rsid w:val="00ED19B7"/>
    <w:rsid w:val="00ED1A80"/>
    <w:rsid w:val="00ED274F"/>
    <w:rsid w:val="00ED30D1"/>
    <w:rsid w:val="00ED497D"/>
    <w:rsid w:val="00ED49EC"/>
    <w:rsid w:val="00ED56ED"/>
    <w:rsid w:val="00ED7121"/>
    <w:rsid w:val="00EE15F8"/>
    <w:rsid w:val="00EE2A90"/>
    <w:rsid w:val="00EE5192"/>
    <w:rsid w:val="00EE5A64"/>
    <w:rsid w:val="00EE727F"/>
    <w:rsid w:val="00EF0BD7"/>
    <w:rsid w:val="00EF181F"/>
    <w:rsid w:val="00EF315F"/>
    <w:rsid w:val="00EF48B4"/>
    <w:rsid w:val="00EF4F71"/>
    <w:rsid w:val="00EF549E"/>
    <w:rsid w:val="00EF5C5A"/>
    <w:rsid w:val="00EF6281"/>
    <w:rsid w:val="00EF6E7D"/>
    <w:rsid w:val="00EF715A"/>
    <w:rsid w:val="00F01ED6"/>
    <w:rsid w:val="00F01F20"/>
    <w:rsid w:val="00F03C9D"/>
    <w:rsid w:val="00F04481"/>
    <w:rsid w:val="00F0509D"/>
    <w:rsid w:val="00F053BE"/>
    <w:rsid w:val="00F0547E"/>
    <w:rsid w:val="00F056C3"/>
    <w:rsid w:val="00F0678C"/>
    <w:rsid w:val="00F07CE3"/>
    <w:rsid w:val="00F07E76"/>
    <w:rsid w:val="00F109F8"/>
    <w:rsid w:val="00F16293"/>
    <w:rsid w:val="00F168D1"/>
    <w:rsid w:val="00F17114"/>
    <w:rsid w:val="00F2474B"/>
    <w:rsid w:val="00F249F8"/>
    <w:rsid w:val="00F2698B"/>
    <w:rsid w:val="00F26A2B"/>
    <w:rsid w:val="00F27899"/>
    <w:rsid w:val="00F3041D"/>
    <w:rsid w:val="00F32FFA"/>
    <w:rsid w:val="00F33977"/>
    <w:rsid w:val="00F34273"/>
    <w:rsid w:val="00F34AB3"/>
    <w:rsid w:val="00F34B82"/>
    <w:rsid w:val="00F35506"/>
    <w:rsid w:val="00F35CAD"/>
    <w:rsid w:val="00F37297"/>
    <w:rsid w:val="00F37975"/>
    <w:rsid w:val="00F4089F"/>
    <w:rsid w:val="00F42475"/>
    <w:rsid w:val="00F42709"/>
    <w:rsid w:val="00F4299D"/>
    <w:rsid w:val="00F43B1E"/>
    <w:rsid w:val="00F46D0D"/>
    <w:rsid w:val="00F46EF0"/>
    <w:rsid w:val="00F4775F"/>
    <w:rsid w:val="00F52DD2"/>
    <w:rsid w:val="00F53EA6"/>
    <w:rsid w:val="00F54CF8"/>
    <w:rsid w:val="00F57720"/>
    <w:rsid w:val="00F57A2F"/>
    <w:rsid w:val="00F60131"/>
    <w:rsid w:val="00F60871"/>
    <w:rsid w:val="00F60ADB"/>
    <w:rsid w:val="00F62B9D"/>
    <w:rsid w:val="00F63497"/>
    <w:rsid w:val="00F636DA"/>
    <w:rsid w:val="00F66818"/>
    <w:rsid w:val="00F675C3"/>
    <w:rsid w:val="00F70C3C"/>
    <w:rsid w:val="00F7180F"/>
    <w:rsid w:val="00F71A53"/>
    <w:rsid w:val="00F74CAF"/>
    <w:rsid w:val="00F75D54"/>
    <w:rsid w:val="00F770D2"/>
    <w:rsid w:val="00F80949"/>
    <w:rsid w:val="00F81ED4"/>
    <w:rsid w:val="00F827FE"/>
    <w:rsid w:val="00F83539"/>
    <w:rsid w:val="00F846D5"/>
    <w:rsid w:val="00F8560D"/>
    <w:rsid w:val="00F91ECF"/>
    <w:rsid w:val="00F93B47"/>
    <w:rsid w:val="00F94066"/>
    <w:rsid w:val="00F945F4"/>
    <w:rsid w:val="00F949C1"/>
    <w:rsid w:val="00F95878"/>
    <w:rsid w:val="00F95CCC"/>
    <w:rsid w:val="00F97F3D"/>
    <w:rsid w:val="00FA4A3F"/>
    <w:rsid w:val="00FA5351"/>
    <w:rsid w:val="00FA548E"/>
    <w:rsid w:val="00FB204F"/>
    <w:rsid w:val="00FB2145"/>
    <w:rsid w:val="00FB262C"/>
    <w:rsid w:val="00FB2E26"/>
    <w:rsid w:val="00FB3021"/>
    <w:rsid w:val="00FB3689"/>
    <w:rsid w:val="00FB37E5"/>
    <w:rsid w:val="00FB3F83"/>
    <w:rsid w:val="00FB744C"/>
    <w:rsid w:val="00FB7B61"/>
    <w:rsid w:val="00FB7EED"/>
    <w:rsid w:val="00FC0029"/>
    <w:rsid w:val="00FC16B2"/>
    <w:rsid w:val="00FC2EA3"/>
    <w:rsid w:val="00FC37EA"/>
    <w:rsid w:val="00FC52CA"/>
    <w:rsid w:val="00FC5B37"/>
    <w:rsid w:val="00FC6EC4"/>
    <w:rsid w:val="00FD0A53"/>
    <w:rsid w:val="00FD2E04"/>
    <w:rsid w:val="00FD775B"/>
    <w:rsid w:val="00FE0AE3"/>
    <w:rsid w:val="00FE187B"/>
    <w:rsid w:val="00FE4184"/>
    <w:rsid w:val="00FE4506"/>
    <w:rsid w:val="00FE47D1"/>
    <w:rsid w:val="00FE52D0"/>
    <w:rsid w:val="00FE531E"/>
    <w:rsid w:val="00FE5812"/>
    <w:rsid w:val="00FE5855"/>
    <w:rsid w:val="00FE7624"/>
    <w:rsid w:val="00FF02D3"/>
    <w:rsid w:val="00FF0A8A"/>
    <w:rsid w:val="00FF20E7"/>
    <w:rsid w:val="00FF2AAE"/>
    <w:rsid w:val="00FF3DF6"/>
    <w:rsid w:val="00FF3EED"/>
    <w:rsid w:val="00FF4329"/>
    <w:rsid w:val="00FF6C76"/>
    <w:rsid w:val="00FF6CB4"/>
    <w:rsid w:val="00FF6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89B"/>
    <w:rPr>
      <w:sz w:val="24"/>
      <w:szCs w:val="24"/>
    </w:rPr>
  </w:style>
  <w:style w:type="paragraph" w:styleId="Heading1">
    <w:name w:val="heading 1"/>
    <w:basedOn w:val="Normal"/>
    <w:next w:val="Normal"/>
    <w:qFormat/>
    <w:pPr>
      <w:keepNext/>
      <w:pBdr>
        <w:bottom w:val="dotted" w:sz="4" w:space="1" w:color="auto"/>
      </w:pBdr>
      <w:spacing w:line="480" w:lineRule="auto"/>
      <w:outlineLvl w:val="0"/>
    </w:pPr>
    <w:rPr>
      <w:b/>
      <w:color w:val="FFFF99"/>
    </w:rPr>
  </w:style>
  <w:style w:type="paragraph" w:styleId="Heading2">
    <w:name w:val="heading 2"/>
    <w:basedOn w:val="Normal"/>
    <w:next w:val="Normal"/>
    <w:qFormat/>
    <w:pPr>
      <w:keepNext/>
      <w:pBdr>
        <w:bottom w:val="dotted" w:sz="4" w:space="1" w:color="auto"/>
      </w:pBdr>
      <w:spacing w:line="480" w:lineRule="auto"/>
      <w:outlineLvl w:val="1"/>
    </w:pPr>
    <w:rPr>
      <w:b/>
      <w:color w:val="0000FF"/>
    </w:rPr>
  </w:style>
  <w:style w:type="paragraph" w:styleId="Heading3">
    <w:name w:val="heading 3"/>
    <w:basedOn w:val="Normal"/>
    <w:next w:val="Normal"/>
    <w:qFormat/>
    <w:pPr>
      <w:keepNext/>
      <w:spacing w:line="480" w:lineRule="auto"/>
      <w:outlineLvl w:val="2"/>
    </w:pPr>
    <w:rPr>
      <w:b/>
      <w:color w:val="FF0000"/>
    </w:rPr>
  </w:style>
  <w:style w:type="paragraph" w:styleId="Heading4">
    <w:name w:val="heading 4"/>
    <w:basedOn w:val="Normal"/>
    <w:next w:val="Normal"/>
    <w:link w:val="Heading4Char"/>
    <w:qFormat/>
    <w:pPr>
      <w:keepNext/>
      <w:pBdr>
        <w:bottom w:val="single" w:sz="4" w:space="1" w:color="auto"/>
      </w:pBdr>
      <w:outlineLvl w:val="3"/>
    </w:pPr>
    <w:rPr>
      <w:b/>
      <w:bCs/>
    </w:rPr>
  </w:style>
  <w:style w:type="paragraph" w:styleId="Heading5">
    <w:name w:val="heading 5"/>
    <w:basedOn w:val="Normal"/>
    <w:next w:val="Normal"/>
    <w:qFormat/>
    <w:pPr>
      <w:keepNext/>
      <w:outlineLvl w:val="4"/>
    </w:pPr>
    <w:rPr>
      <w:b/>
      <w:bCs/>
      <w:color w:val="FF0000"/>
    </w:rPr>
  </w:style>
  <w:style w:type="paragraph" w:styleId="Heading6">
    <w:name w:val="heading 6"/>
    <w:basedOn w:val="Normal"/>
    <w:next w:val="Normal"/>
    <w:qFormat/>
    <w:pPr>
      <w:keepNext/>
      <w:autoSpaceDE w:val="0"/>
      <w:autoSpaceDN w:val="0"/>
      <w:adjustRightInd w:val="0"/>
      <w:outlineLvl w:val="5"/>
    </w:pPr>
    <w:rPr>
      <w:rFonts w:ascii="Arial" w:hAnsi="Arial" w:cs="Arial"/>
      <w:b/>
      <w:bCs/>
      <w:color w:val="000000"/>
      <w:sz w:val="20"/>
      <w:szCs w:val="20"/>
    </w:rPr>
  </w:style>
  <w:style w:type="paragraph" w:styleId="Heading7">
    <w:name w:val="heading 7"/>
    <w:basedOn w:val="Normal"/>
    <w:next w:val="Normal"/>
    <w:link w:val="Heading7Char"/>
    <w:qFormat/>
    <w:pPr>
      <w:keepNext/>
      <w:outlineLvl w:val="6"/>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link w:val="BodyTextChar"/>
    <w:rPr>
      <w:sz w:val="20"/>
    </w:rPr>
  </w:style>
  <w:style w:type="character" w:styleId="Hyperlink">
    <w:name w:val="Hyperlink"/>
    <w:rPr>
      <w:color w:val="0000FF"/>
      <w:u w:val="single"/>
    </w:r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styleId="PageNumber">
    <w:name w:val="page number"/>
    <w:basedOn w:val="DefaultParagraphFont"/>
  </w:style>
  <w:style w:type="paragraph" w:styleId="BodyTextIndent">
    <w:name w:val="Body Text Indent"/>
    <w:basedOn w:val="Normal"/>
    <w:pPr>
      <w:ind w:left="180" w:hanging="180"/>
    </w:pPr>
    <w:rPr>
      <w:sz w:val="20"/>
    </w:rPr>
  </w:style>
  <w:style w:type="character" w:customStyle="1" w:styleId="deffont1">
    <w:name w:val="deffont1"/>
    <w:rPr>
      <w:rFonts w:ascii="Arial" w:hAnsi="Arial" w:cs="Arial" w:hint="default"/>
      <w:i w:val="0"/>
      <w:iCs w:val="0"/>
      <w:strike w:val="0"/>
      <w:dstrike w:val="0"/>
      <w:color w:val="454665"/>
      <w:sz w:val="20"/>
      <w:szCs w:val="20"/>
      <w:u w:val="none"/>
      <w:effect w:val="none"/>
    </w:rPr>
  </w:style>
  <w:style w:type="character" w:customStyle="1" w:styleId="match1">
    <w:name w:val="match1"/>
    <w:rPr>
      <w:bdr w:val="none" w:sz="0" w:space="0" w:color="auto" w:frame="1"/>
      <w:shd w:val="clear" w:color="auto" w:fill="F6FF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character" w:styleId="FollowedHyperlink">
    <w:name w:val="FollowedHyperlink"/>
    <w:rPr>
      <w:color w:val="800080"/>
      <w:u w:val="single"/>
    </w:rPr>
  </w:style>
  <w:style w:type="paragraph" w:customStyle="1" w:styleId="Default">
    <w:name w:val="Default"/>
    <w:pPr>
      <w:autoSpaceDE w:val="0"/>
      <w:autoSpaceDN w:val="0"/>
      <w:adjustRightInd w:val="0"/>
    </w:pPr>
    <w:rPr>
      <w:color w:val="000000"/>
      <w:sz w:val="24"/>
      <w:szCs w:val="24"/>
    </w:rPr>
  </w:style>
  <w:style w:type="paragraph" w:styleId="BalloonText">
    <w:name w:val="Balloon Text"/>
    <w:basedOn w:val="Normal"/>
    <w:link w:val="BalloonTextChar"/>
    <w:uiPriority w:val="99"/>
    <w:semiHidden/>
    <w:rPr>
      <w:rFonts w:ascii="Tahoma" w:hAnsi="Tahoma" w:cs="Tahoma"/>
      <w:sz w:val="16"/>
      <w:szCs w:val="16"/>
    </w:rPr>
  </w:style>
  <w:style w:type="paragraph" w:styleId="BodyText2">
    <w:name w:val="Body Text 2"/>
    <w:basedOn w:val="Normal"/>
    <w:pPr>
      <w:jc w:val="center"/>
    </w:pPr>
  </w:style>
  <w:style w:type="paragraph" w:styleId="BodyText3">
    <w:name w:val="Body Text 3"/>
    <w:basedOn w:val="Normal"/>
    <w:pPr>
      <w:jc w:val="center"/>
    </w:pPr>
    <w:rPr>
      <w:sz w:val="20"/>
    </w:rPr>
  </w:style>
  <w:style w:type="character" w:customStyle="1" w:styleId="deffont">
    <w:name w:val="deffont"/>
    <w:basedOn w:val="DefaultParagraphFont"/>
  </w:style>
  <w:style w:type="table" w:styleId="TableGrid">
    <w:name w:val="Table Grid"/>
    <w:basedOn w:val="TableNormal"/>
    <w:rsid w:val="00542A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5F0A77"/>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5F0A77"/>
    <w:pPr>
      <w:pBdr>
        <w:top w:val="single" w:sz="6" w:space="1" w:color="auto"/>
      </w:pBdr>
      <w:jc w:val="center"/>
    </w:pPr>
    <w:rPr>
      <w:rFonts w:ascii="Arial" w:hAnsi="Arial" w:cs="Arial"/>
      <w:vanish/>
      <w:sz w:val="16"/>
      <w:szCs w:val="16"/>
    </w:rPr>
  </w:style>
  <w:style w:type="paragraph" w:customStyle="1" w:styleId="abstract">
    <w:name w:val="abstract"/>
    <w:basedOn w:val="Normal"/>
    <w:rsid w:val="0008501A"/>
    <w:pPr>
      <w:spacing w:before="100" w:beforeAutospacing="1" w:after="100" w:afterAutospacing="1"/>
    </w:pPr>
  </w:style>
  <w:style w:type="character" w:customStyle="1" w:styleId="ti">
    <w:name w:val="ti"/>
    <w:basedOn w:val="DefaultParagraphFont"/>
    <w:rsid w:val="00353B33"/>
  </w:style>
  <w:style w:type="character" w:customStyle="1" w:styleId="linkbar">
    <w:name w:val="linkbar"/>
    <w:basedOn w:val="DefaultParagraphFont"/>
    <w:rsid w:val="00353B33"/>
  </w:style>
  <w:style w:type="character" w:customStyle="1" w:styleId="bibrecord-highlight">
    <w:name w:val="bibrecord-highlight"/>
    <w:basedOn w:val="DefaultParagraphFont"/>
    <w:rsid w:val="00C159F7"/>
  </w:style>
  <w:style w:type="paragraph" w:customStyle="1" w:styleId="BodyText8">
    <w:name w:val="BodyText8"/>
    <w:basedOn w:val="Default"/>
    <w:next w:val="Default"/>
    <w:rsid w:val="004325D9"/>
    <w:rPr>
      <w:color w:val="auto"/>
    </w:rPr>
  </w:style>
  <w:style w:type="character" w:customStyle="1" w:styleId="labels">
    <w:name w:val="labels"/>
    <w:basedOn w:val="DefaultParagraphFont"/>
    <w:rsid w:val="00B14D15"/>
  </w:style>
  <w:style w:type="character" w:customStyle="1" w:styleId="Heading4Char">
    <w:name w:val="Heading 4 Char"/>
    <w:link w:val="Heading4"/>
    <w:rsid w:val="00B37666"/>
    <w:rPr>
      <w:b/>
      <w:bCs/>
      <w:sz w:val="24"/>
      <w:szCs w:val="24"/>
    </w:rPr>
  </w:style>
  <w:style w:type="character" w:customStyle="1" w:styleId="Heading7Char">
    <w:name w:val="Heading 7 Char"/>
    <w:link w:val="Heading7"/>
    <w:rsid w:val="00B37666"/>
    <w:rPr>
      <w:b/>
      <w:bCs/>
      <w:i/>
      <w:iCs/>
      <w:sz w:val="24"/>
      <w:szCs w:val="24"/>
    </w:rPr>
  </w:style>
  <w:style w:type="character" w:customStyle="1" w:styleId="2292i">
    <w:name w:val="2292_i"/>
    <w:rsid w:val="00AE7C9D"/>
  </w:style>
  <w:style w:type="character" w:styleId="Strong">
    <w:name w:val="Strong"/>
    <w:uiPriority w:val="22"/>
    <w:qFormat/>
    <w:rsid w:val="000B445C"/>
    <w:rPr>
      <w:b/>
      <w:bCs/>
    </w:rPr>
  </w:style>
  <w:style w:type="character" w:customStyle="1" w:styleId="CommentTextChar">
    <w:name w:val="Comment Text Char"/>
    <w:link w:val="CommentText"/>
    <w:uiPriority w:val="99"/>
    <w:semiHidden/>
    <w:rsid w:val="00BA1878"/>
  </w:style>
  <w:style w:type="paragraph" w:styleId="CommentSubject">
    <w:name w:val="annotation subject"/>
    <w:basedOn w:val="CommentText"/>
    <w:next w:val="CommentText"/>
    <w:link w:val="CommentSubjectChar"/>
    <w:uiPriority w:val="99"/>
    <w:rsid w:val="00C871B3"/>
    <w:rPr>
      <w:b/>
      <w:bCs/>
    </w:rPr>
  </w:style>
  <w:style w:type="character" w:customStyle="1" w:styleId="CommentSubjectChar">
    <w:name w:val="Comment Subject Char"/>
    <w:link w:val="CommentSubject"/>
    <w:uiPriority w:val="99"/>
    <w:rsid w:val="00C871B3"/>
    <w:rPr>
      <w:b/>
      <w:bCs/>
    </w:rPr>
  </w:style>
  <w:style w:type="paragraph" w:styleId="ListParagraph">
    <w:name w:val="List Paragraph"/>
    <w:basedOn w:val="Normal"/>
    <w:link w:val="ListParagraphChar"/>
    <w:uiPriority w:val="34"/>
    <w:qFormat/>
    <w:rsid w:val="009E4D03"/>
    <w:pPr>
      <w:spacing w:after="200"/>
      <w:ind w:left="720"/>
      <w:contextualSpacing/>
    </w:pPr>
    <w:rPr>
      <w:rFonts w:ascii="Arial" w:eastAsia="Calibri" w:hAnsi="Arial"/>
      <w:sz w:val="22"/>
      <w:szCs w:val="22"/>
    </w:rPr>
  </w:style>
  <w:style w:type="character" w:customStyle="1" w:styleId="A4">
    <w:name w:val="A4"/>
    <w:uiPriority w:val="99"/>
    <w:rsid w:val="00DE2F29"/>
    <w:rPr>
      <w:rFonts w:cs="Adobe Garamond Pro"/>
      <w:color w:val="000000"/>
      <w:sz w:val="16"/>
      <w:szCs w:val="16"/>
    </w:rPr>
  </w:style>
  <w:style w:type="character" w:customStyle="1" w:styleId="BalloonTextChar">
    <w:name w:val="Balloon Text Char"/>
    <w:link w:val="BalloonText"/>
    <w:uiPriority w:val="99"/>
    <w:semiHidden/>
    <w:rsid w:val="009D40E9"/>
    <w:rPr>
      <w:rFonts w:ascii="Tahoma" w:hAnsi="Tahoma" w:cs="Tahoma"/>
      <w:sz w:val="16"/>
      <w:szCs w:val="16"/>
    </w:rPr>
  </w:style>
  <w:style w:type="paragraph" w:customStyle="1" w:styleId="Pa4">
    <w:name w:val="Pa4"/>
    <w:basedOn w:val="Normal"/>
    <w:next w:val="Normal"/>
    <w:rsid w:val="009D40E9"/>
    <w:pPr>
      <w:autoSpaceDE w:val="0"/>
      <w:autoSpaceDN w:val="0"/>
      <w:adjustRightInd w:val="0"/>
      <w:spacing w:before="180" w:after="20" w:line="241" w:lineRule="atLeast"/>
    </w:pPr>
    <w:rPr>
      <w:rFonts w:ascii="KORKMM+Frutiger-LightCn" w:hAnsi="KORKMM+Frutiger-LightCn"/>
    </w:rPr>
  </w:style>
  <w:style w:type="character" w:customStyle="1" w:styleId="A3">
    <w:name w:val="A3"/>
    <w:rsid w:val="009D40E9"/>
    <w:rPr>
      <w:rFonts w:cs="KORKMM+Frutiger-LightCn"/>
      <w:color w:val="000000"/>
      <w:sz w:val="15"/>
      <w:szCs w:val="15"/>
    </w:rPr>
  </w:style>
  <w:style w:type="character" w:customStyle="1" w:styleId="A6">
    <w:name w:val="A6"/>
    <w:rsid w:val="009D40E9"/>
    <w:rPr>
      <w:rFonts w:cs="KORKMM+Frutiger-LightCn"/>
      <w:color w:val="000000"/>
      <w:sz w:val="8"/>
      <w:szCs w:val="8"/>
    </w:rPr>
  </w:style>
  <w:style w:type="character" w:customStyle="1" w:styleId="BodyTextChar">
    <w:name w:val="Body Text Char"/>
    <w:link w:val="BodyText"/>
    <w:rsid w:val="009D40E9"/>
    <w:rPr>
      <w:szCs w:val="24"/>
    </w:rPr>
  </w:style>
  <w:style w:type="character" w:customStyle="1" w:styleId="HeaderChar">
    <w:name w:val="Header Char"/>
    <w:link w:val="Header"/>
    <w:uiPriority w:val="99"/>
    <w:rsid w:val="009D40E9"/>
    <w:rPr>
      <w:sz w:val="24"/>
      <w:szCs w:val="24"/>
    </w:rPr>
  </w:style>
  <w:style w:type="character" w:customStyle="1" w:styleId="FooterChar">
    <w:name w:val="Footer Char"/>
    <w:link w:val="Footer"/>
    <w:uiPriority w:val="99"/>
    <w:rsid w:val="009D40E9"/>
    <w:rPr>
      <w:sz w:val="24"/>
      <w:szCs w:val="24"/>
    </w:rPr>
  </w:style>
  <w:style w:type="paragraph" w:styleId="NoSpacing">
    <w:name w:val="No Spacing"/>
    <w:uiPriority w:val="1"/>
    <w:qFormat/>
    <w:rsid w:val="00962C1B"/>
    <w:rPr>
      <w:rFonts w:ascii="Calibri" w:eastAsia="Calibri" w:hAnsi="Calibri"/>
      <w:sz w:val="22"/>
      <w:szCs w:val="22"/>
    </w:rPr>
  </w:style>
  <w:style w:type="character" w:customStyle="1" w:styleId="bold1">
    <w:name w:val="bold1"/>
    <w:rsid w:val="004861AB"/>
    <w:rPr>
      <w:b/>
      <w:bCs/>
    </w:rPr>
  </w:style>
  <w:style w:type="paragraph" w:styleId="Revision">
    <w:name w:val="Revision"/>
    <w:hidden/>
    <w:uiPriority w:val="99"/>
    <w:semiHidden/>
    <w:rsid w:val="00C22CDB"/>
    <w:rPr>
      <w:sz w:val="24"/>
      <w:szCs w:val="24"/>
    </w:rPr>
  </w:style>
  <w:style w:type="paragraph" w:customStyle="1" w:styleId="PT-Subheading">
    <w:name w:val="PT - Subheading"/>
    <w:basedOn w:val="Heading4"/>
    <w:qFormat/>
    <w:rsid w:val="00031F67"/>
    <w:pPr>
      <w:pBdr>
        <w:bottom w:val="none" w:sz="0" w:space="0" w:color="auto"/>
      </w:pBdr>
      <w:contextualSpacing/>
    </w:pPr>
    <w:rPr>
      <w:rFonts w:ascii="Arial" w:hAnsi="Arial" w:cs="Arial"/>
      <w:smallCaps/>
      <w:sz w:val="20"/>
      <w:szCs w:val="20"/>
    </w:rPr>
  </w:style>
  <w:style w:type="character" w:customStyle="1" w:styleId="ListParagraphChar">
    <w:name w:val="List Paragraph Char"/>
    <w:link w:val="ListParagraph"/>
    <w:uiPriority w:val="34"/>
    <w:rsid w:val="00031F67"/>
    <w:rPr>
      <w:rFonts w:ascii="Arial" w:eastAsia="Calibri"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89B"/>
    <w:rPr>
      <w:sz w:val="24"/>
      <w:szCs w:val="24"/>
    </w:rPr>
  </w:style>
  <w:style w:type="paragraph" w:styleId="Heading1">
    <w:name w:val="heading 1"/>
    <w:basedOn w:val="Normal"/>
    <w:next w:val="Normal"/>
    <w:qFormat/>
    <w:pPr>
      <w:keepNext/>
      <w:pBdr>
        <w:bottom w:val="dotted" w:sz="4" w:space="1" w:color="auto"/>
      </w:pBdr>
      <w:spacing w:line="480" w:lineRule="auto"/>
      <w:outlineLvl w:val="0"/>
    </w:pPr>
    <w:rPr>
      <w:b/>
      <w:color w:val="FFFF99"/>
    </w:rPr>
  </w:style>
  <w:style w:type="paragraph" w:styleId="Heading2">
    <w:name w:val="heading 2"/>
    <w:basedOn w:val="Normal"/>
    <w:next w:val="Normal"/>
    <w:qFormat/>
    <w:pPr>
      <w:keepNext/>
      <w:pBdr>
        <w:bottom w:val="dotted" w:sz="4" w:space="1" w:color="auto"/>
      </w:pBdr>
      <w:spacing w:line="480" w:lineRule="auto"/>
      <w:outlineLvl w:val="1"/>
    </w:pPr>
    <w:rPr>
      <w:b/>
      <w:color w:val="0000FF"/>
    </w:rPr>
  </w:style>
  <w:style w:type="paragraph" w:styleId="Heading3">
    <w:name w:val="heading 3"/>
    <w:basedOn w:val="Normal"/>
    <w:next w:val="Normal"/>
    <w:qFormat/>
    <w:pPr>
      <w:keepNext/>
      <w:spacing w:line="480" w:lineRule="auto"/>
      <w:outlineLvl w:val="2"/>
    </w:pPr>
    <w:rPr>
      <w:b/>
      <w:color w:val="FF0000"/>
    </w:rPr>
  </w:style>
  <w:style w:type="paragraph" w:styleId="Heading4">
    <w:name w:val="heading 4"/>
    <w:basedOn w:val="Normal"/>
    <w:next w:val="Normal"/>
    <w:link w:val="Heading4Char"/>
    <w:qFormat/>
    <w:pPr>
      <w:keepNext/>
      <w:pBdr>
        <w:bottom w:val="single" w:sz="4" w:space="1" w:color="auto"/>
      </w:pBdr>
      <w:outlineLvl w:val="3"/>
    </w:pPr>
    <w:rPr>
      <w:b/>
      <w:bCs/>
    </w:rPr>
  </w:style>
  <w:style w:type="paragraph" w:styleId="Heading5">
    <w:name w:val="heading 5"/>
    <w:basedOn w:val="Normal"/>
    <w:next w:val="Normal"/>
    <w:qFormat/>
    <w:pPr>
      <w:keepNext/>
      <w:outlineLvl w:val="4"/>
    </w:pPr>
    <w:rPr>
      <w:b/>
      <w:bCs/>
      <w:color w:val="FF0000"/>
    </w:rPr>
  </w:style>
  <w:style w:type="paragraph" w:styleId="Heading6">
    <w:name w:val="heading 6"/>
    <w:basedOn w:val="Normal"/>
    <w:next w:val="Normal"/>
    <w:qFormat/>
    <w:pPr>
      <w:keepNext/>
      <w:autoSpaceDE w:val="0"/>
      <w:autoSpaceDN w:val="0"/>
      <w:adjustRightInd w:val="0"/>
      <w:outlineLvl w:val="5"/>
    </w:pPr>
    <w:rPr>
      <w:rFonts w:ascii="Arial" w:hAnsi="Arial" w:cs="Arial"/>
      <w:b/>
      <w:bCs/>
      <w:color w:val="000000"/>
      <w:sz w:val="20"/>
      <w:szCs w:val="20"/>
    </w:rPr>
  </w:style>
  <w:style w:type="paragraph" w:styleId="Heading7">
    <w:name w:val="heading 7"/>
    <w:basedOn w:val="Normal"/>
    <w:next w:val="Normal"/>
    <w:link w:val="Heading7Char"/>
    <w:qFormat/>
    <w:pPr>
      <w:keepNext/>
      <w:outlineLvl w:val="6"/>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link w:val="BodyTextChar"/>
    <w:rPr>
      <w:sz w:val="20"/>
    </w:rPr>
  </w:style>
  <w:style w:type="character" w:styleId="Hyperlink">
    <w:name w:val="Hyperlink"/>
    <w:rPr>
      <w:color w:val="0000FF"/>
      <w:u w:val="single"/>
    </w:r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styleId="PageNumber">
    <w:name w:val="page number"/>
    <w:basedOn w:val="DefaultParagraphFont"/>
  </w:style>
  <w:style w:type="paragraph" w:styleId="BodyTextIndent">
    <w:name w:val="Body Text Indent"/>
    <w:basedOn w:val="Normal"/>
    <w:pPr>
      <w:ind w:left="180" w:hanging="180"/>
    </w:pPr>
    <w:rPr>
      <w:sz w:val="20"/>
    </w:rPr>
  </w:style>
  <w:style w:type="character" w:customStyle="1" w:styleId="deffont1">
    <w:name w:val="deffont1"/>
    <w:rPr>
      <w:rFonts w:ascii="Arial" w:hAnsi="Arial" w:cs="Arial" w:hint="default"/>
      <w:i w:val="0"/>
      <w:iCs w:val="0"/>
      <w:strike w:val="0"/>
      <w:dstrike w:val="0"/>
      <w:color w:val="454665"/>
      <w:sz w:val="20"/>
      <w:szCs w:val="20"/>
      <w:u w:val="none"/>
      <w:effect w:val="none"/>
    </w:rPr>
  </w:style>
  <w:style w:type="character" w:customStyle="1" w:styleId="match1">
    <w:name w:val="match1"/>
    <w:rPr>
      <w:bdr w:val="none" w:sz="0" w:space="0" w:color="auto" w:frame="1"/>
      <w:shd w:val="clear" w:color="auto" w:fill="F6FF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character" w:styleId="FollowedHyperlink">
    <w:name w:val="FollowedHyperlink"/>
    <w:rPr>
      <w:color w:val="800080"/>
      <w:u w:val="single"/>
    </w:rPr>
  </w:style>
  <w:style w:type="paragraph" w:customStyle="1" w:styleId="Default">
    <w:name w:val="Default"/>
    <w:pPr>
      <w:autoSpaceDE w:val="0"/>
      <w:autoSpaceDN w:val="0"/>
      <w:adjustRightInd w:val="0"/>
    </w:pPr>
    <w:rPr>
      <w:color w:val="000000"/>
      <w:sz w:val="24"/>
      <w:szCs w:val="24"/>
    </w:rPr>
  </w:style>
  <w:style w:type="paragraph" w:styleId="BalloonText">
    <w:name w:val="Balloon Text"/>
    <w:basedOn w:val="Normal"/>
    <w:link w:val="BalloonTextChar"/>
    <w:uiPriority w:val="99"/>
    <w:semiHidden/>
    <w:rPr>
      <w:rFonts w:ascii="Tahoma" w:hAnsi="Tahoma" w:cs="Tahoma"/>
      <w:sz w:val="16"/>
      <w:szCs w:val="16"/>
    </w:rPr>
  </w:style>
  <w:style w:type="paragraph" w:styleId="BodyText2">
    <w:name w:val="Body Text 2"/>
    <w:basedOn w:val="Normal"/>
    <w:pPr>
      <w:jc w:val="center"/>
    </w:pPr>
  </w:style>
  <w:style w:type="paragraph" w:styleId="BodyText3">
    <w:name w:val="Body Text 3"/>
    <w:basedOn w:val="Normal"/>
    <w:pPr>
      <w:jc w:val="center"/>
    </w:pPr>
    <w:rPr>
      <w:sz w:val="20"/>
    </w:rPr>
  </w:style>
  <w:style w:type="character" w:customStyle="1" w:styleId="deffont">
    <w:name w:val="deffont"/>
    <w:basedOn w:val="DefaultParagraphFont"/>
  </w:style>
  <w:style w:type="table" w:styleId="TableGrid">
    <w:name w:val="Table Grid"/>
    <w:basedOn w:val="TableNormal"/>
    <w:rsid w:val="00542A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hidden/>
    <w:rsid w:val="005F0A77"/>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5F0A77"/>
    <w:pPr>
      <w:pBdr>
        <w:top w:val="single" w:sz="6" w:space="1" w:color="auto"/>
      </w:pBdr>
      <w:jc w:val="center"/>
    </w:pPr>
    <w:rPr>
      <w:rFonts w:ascii="Arial" w:hAnsi="Arial" w:cs="Arial"/>
      <w:vanish/>
      <w:sz w:val="16"/>
      <w:szCs w:val="16"/>
    </w:rPr>
  </w:style>
  <w:style w:type="paragraph" w:customStyle="1" w:styleId="abstract">
    <w:name w:val="abstract"/>
    <w:basedOn w:val="Normal"/>
    <w:rsid w:val="0008501A"/>
    <w:pPr>
      <w:spacing w:before="100" w:beforeAutospacing="1" w:after="100" w:afterAutospacing="1"/>
    </w:pPr>
  </w:style>
  <w:style w:type="character" w:customStyle="1" w:styleId="ti">
    <w:name w:val="ti"/>
    <w:basedOn w:val="DefaultParagraphFont"/>
    <w:rsid w:val="00353B33"/>
  </w:style>
  <w:style w:type="character" w:customStyle="1" w:styleId="linkbar">
    <w:name w:val="linkbar"/>
    <w:basedOn w:val="DefaultParagraphFont"/>
    <w:rsid w:val="00353B33"/>
  </w:style>
  <w:style w:type="character" w:customStyle="1" w:styleId="bibrecord-highlight">
    <w:name w:val="bibrecord-highlight"/>
    <w:basedOn w:val="DefaultParagraphFont"/>
    <w:rsid w:val="00C159F7"/>
  </w:style>
  <w:style w:type="paragraph" w:customStyle="1" w:styleId="BodyText8">
    <w:name w:val="BodyText8"/>
    <w:basedOn w:val="Default"/>
    <w:next w:val="Default"/>
    <w:rsid w:val="004325D9"/>
    <w:rPr>
      <w:color w:val="auto"/>
    </w:rPr>
  </w:style>
  <w:style w:type="character" w:customStyle="1" w:styleId="labels">
    <w:name w:val="labels"/>
    <w:basedOn w:val="DefaultParagraphFont"/>
    <w:rsid w:val="00B14D15"/>
  </w:style>
  <w:style w:type="character" w:customStyle="1" w:styleId="Heading4Char">
    <w:name w:val="Heading 4 Char"/>
    <w:link w:val="Heading4"/>
    <w:rsid w:val="00B37666"/>
    <w:rPr>
      <w:b/>
      <w:bCs/>
      <w:sz w:val="24"/>
      <w:szCs w:val="24"/>
    </w:rPr>
  </w:style>
  <w:style w:type="character" w:customStyle="1" w:styleId="Heading7Char">
    <w:name w:val="Heading 7 Char"/>
    <w:link w:val="Heading7"/>
    <w:rsid w:val="00B37666"/>
    <w:rPr>
      <w:b/>
      <w:bCs/>
      <w:i/>
      <w:iCs/>
      <w:sz w:val="24"/>
      <w:szCs w:val="24"/>
    </w:rPr>
  </w:style>
  <w:style w:type="character" w:customStyle="1" w:styleId="2292i">
    <w:name w:val="2292_i"/>
    <w:rsid w:val="00AE7C9D"/>
  </w:style>
  <w:style w:type="character" w:styleId="Strong">
    <w:name w:val="Strong"/>
    <w:uiPriority w:val="22"/>
    <w:qFormat/>
    <w:rsid w:val="000B445C"/>
    <w:rPr>
      <w:b/>
      <w:bCs/>
    </w:rPr>
  </w:style>
  <w:style w:type="character" w:customStyle="1" w:styleId="CommentTextChar">
    <w:name w:val="Comment Text Char"/>
    <w:link w:val="CommentText"/>
    <w:uiPriority w:val="99"/>
    <w:semiHidden/>
    <w:rsid w:val="00BA1878"/>
  </w:style>
  <w:style w:type="paragraph" w:styleId="CommentSubject">
    <w:name w:val="annotation subject"/>
    <w:basedOn w:val="CommentText"/>
    <w:next w:val="CommentText"/>
    <w:link w:val="CommentSubjectChar"/>
    <w:uiPriority w:val="99"/>
    <w:rsid w:val="00C871B3"/>
    <w:rPr>
      <w:b/>
      <w:bCs/>
    </w:rPr>
  </w:style>
  <w:style w:type="character" w:customStyle="1" w:styleId="CommentSubjectChar">
    <w:name w:val="Comment Subject Char"/>
    <w:link w:val="CommentSubject"/>
    <w:uiPriority w:val="99"/>
    <w:rsid w:val="00C871B3"/>
    <w:rPr>
      <w:b/>
      <w:bCs/>
    </w:rPr>
  </w:style>
  <w:style w:type="paragraph" w:styleId="ListParagraph">
    <w:name w:val="List Paragraph"/>
    <w:basedOn w:val="Normal"/>
    <w:link w:val="ListParagraphChar"/>
    <w:uiPriority w:val="34"/>
    <w:qFormat/>
    <w:rsid w:val="009E4D03"/>
    <w:pPr>
      <w:spacing w:after="200"/>
      <w:ind w:left="720"/>
      <w:contextualSpacing/>
    </w:pPr>
    <w:rPr>
      <w:rFonts w:ascii="Arial" w:eastAsia="Calibri" w:hAnsi="Arial"/>
      <w:sz w:val="22"/>
      <w:szCs w:val="22"/>
    </w:rPr>
  </w:style>
  <w:style w:type="character" w:customStyle="1" w:styleId="A4">
    <w:name w:val="A4"/>
    <w:uiPriority w:val="99"/>
    <w:rsid w:val="00DE2F29"/>
    <w:rPr>
      <w:rFonts w:cs="Adobe Garamond Pro"/>
      <w:color w:val="000000"/>
      <w:sz w:val="16"/>
      <w:szCs w:val="16"/>
    </w:rPr>
  </w:style>
  <w:style w:type="character" w:customStyle="1" w:styleId="BalloonTextChar">
    <w:name w:val="Balloon Text Char"/>
    <w:link w:val="BalloonText"/>
    <w:uiPriority w:val="99"/>
    <w:semiHidden/>
    <w:rsid w:val="009D40E9"/>
    <w:rPr>
      <w:rFonts w:ascii="Tahoma" w:hAnsi="Tahoma" w:cs="Tahoma"/>
      <w:sz w:val="16"/>
      <w:szCs w:val="16"/>
    </w:rPr>
  </w:style>
  <w:style w:type="paragraph" w:customStyle="1" w:styleId="Pa4">
    <w:name w:val="Pa4"/>
    <w:basedOn w:val="Normal"/>
    <w:next w:val="Normal"/>
    <w:rsid w:val="009D40E9"/>
    <w:pPr>
      <w:autoSpaceDE w:val="0"/>
      <w:autoSpaceDN w:val="0"/>
      <w:adjustRightInd w:val="0"/>
      <w:spacing w:before="180" w:after="20" w:line="241" w:lineRule="atLeast"/>
    </w:pPr>
    <w:rPr>
      <w:rFonts w:ascii="KORKMM+Frutiger-LightCn" w:hAnsi="KORKMM+Frutiger-LightCn"/>
    </w:rPr>
  </w:style>
  <w:style w:type="character" w:customStyle="1" w:styleId="A3">
    <w:name w:val="A3"/>
    <w:rsid w:val="009D40E9"/>
    <w:rPr>
      <w:rFonts w:cs="KORKMM+Frutiger-LightCn"/>
      <w:color w:val="000000"/>
      <w:sz w:val="15"/>
      <w:szCs w:val="15"/>
    </w:rPr>
  </w:style>
  <w:style w:type="character" w:customStyle="1" w:styleId="A6">
    <w:name w:val="A6"/>
    <w:rsid w:val="009D40E9"/>
    <w:rPr>
      <w:rFonts w:cs="KORKMM+Frutiger-LightCn"/>
      <w:color w:val="000000"/>
      <w:sz w:val="8"/>
      <w:szCs w:val="8"/>
    </w:rPr>
  </w:style>
  <w:style w:type="character" w:customStyle="1" w:styleId="BodyTextChar">
    <w:name w:val="Body Text Char"/>
    <w:link w:val="BodyText"/>
    <w:rsid w:val="009D40E9"/>
    <w:rPr>
      <w:szCs w:val="24"/>
    </w:rPr>
  </w:style>
  <w:style w:type="character" w:customStyle="1" w:styleId="HeaderChar">
    <w:name w:val="Header Char"/>
    <w:link w:val="Header"/>
    <w:uiPriority w:val="99"/>
    <w:rsid w:val="009D40E9"/>
    <w:rPr>
      <w:sz w:val="24"/>
      <w:szCs w:val="24"/>
    </w:rPr>
  </w:style>
  <w:style w:type="character" w:customStyle="1" w:styleId="FooterChar">
    <w:name w:val="Footer Char"/>
    <w:link w:val="Footer"/>
    <w:uiPriority w:val="99"/>
    <w:rsid w:val="009D40E9"/>
    <w:rPr>
      <w:sz w:val="24"/>
      <w:szCs w:val="24"/>
    </w:rPr>
  </w:style>
  <w:style w:type="paragraph" w:styleId="NoSpacing">
    <w:name w:val="No Spacing"/>
    <w:uiPriority w:val="1"/>
    <w:qFormat/>
    <w:rsid w:val="00962C1B"/>
    <w:rPr>
      <w:rFonts w:ascii="Calibri" w:eastAsia="Calibri" w:hAnsi="Calibri"/>
      <w:sz w:val="22"/>
      <w:szCs w:val="22"/>
    </w:rPr>
  </w:style>
  <w:style w:type="character" w:customStyle="1" w:styleId="bold1">
    <w:name w:val="bold1"/>
    <w:rsid w:val="004861AB"/>
    <w:rPr>
      <w:b/>
      <w:bCs/>
    </w:rPr>
  </w:style>
  <w:style w:type="paragraph" w:styleId="Revision">
    <w:name w:val="Revision"/>
    <w:hidden/>
    <w:uiPriority w:val="99"/>
    <w:semiHidden/>
    <w:rsid w:val="00C22CDB"/>
    <w:rPr>
      <w:sz w:val="24"/>
      <w:szCs w:val="24"/>
    </w:rPr>
  </w:style>
  <w:style w:type="paragraph" w:customStyle="1" w:styleId="PT-Subheading">
    <w:name w:val="PT - Subheading"/>
    <w:basedOn w:val="Heading4"/>
    <w:qFormat/>
    <w:rsid w:val="00031F67"/>
    <w:pPr>
      <w:pBdr>
        <w:bottom w:val="none" w:sz="0" w:space="0" w:color="auto"/>
      </w:pBdr>
      <w:contextualSpacing/>
    </w:pPr>
    <w:rPr>
      <w:rFonts w:ascii="Arial" w:hAnsi="Arial" w:cs="Arial"/>
      <w:smallCaps/>
      <w:sz w:val="20"/>
      <w:szCs w:val="20"/>
    </w:rPr>
  </w:style>
  <w:style w:type="character" w:customStyle="1" w:styleId="ListParagraphChar">
    <w:name w:val="List Paragraph Char"/>
    <w:link w:val="ListParagraph"/>
    <w:uiPriority w:val="34"/>
    <w:rsid w:val="00031F67"/>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682">
      <w:bodyDiv w:val="1"/>
      <w:marLeft w:val="0"/>
      <w:marRight w:val="0"/>
      <w:marTop w:val="0"/>
      <w:marBottom w:val="0"/>
      <w:divBdr>
        <w:top w:val="none" w:sz="0" w:space="0" w:color="auto"/>
        <w:left w:val="none" w:sz="0" w:space="0" w:color="auto"/>
        <w:bottom w:val="none" w:sz="0" w:space="0" w:color="auto"/>
        <w:right w:val="none" w:sz="0" w:space="0" w:color="auto"/>
      </w:divBdr>
    </w:div>
    <w:div w:id="16778240">
      <w:bodyDiv w:val="1"/>
      <w:marLeft w:val="0"/>
      <w:marRight w:val="0"/>
      <w:marTop w:val="0"/>
      <w:marBottom w:val="0"/>
      <w:divBdr>
        <w:top w:val="none" w:sz="0" w:space="0" w:color="auto"/>
        <w:left w:val="none" w:sz="0" w:space="0" w:color="auto"/>
        <w:bottom w:val="none" w:sz="0" w:space="0" w:color="auto"/>
        <w:right w:val="none" w:sz="0" w:space="0" w:color="auto"/>
      </w:divBdr>
    </w:div>
    <w:div w:id="23796307">
      <w:bodyDiv w:val="1"/>
      <w:marLeft w:val="0"/>
      <w:marRight w:val="0"/>
      <w:marTop w:val="0"/>
      <w:marBottom w:val="0"/>
      <w:divBdr>
        <w:top w:val="none" w:sz="0" w:space="0" w:color="auto"/>
        <w:left w:val="none" w:sz="0" w:space="0" w:color="auto"/>
        <w:bottom w:val="none" w:sz="0" w:space="0" w:color="auto"/>
        <w:right w:val="none" w:sz="0" w:space="0" w:color="auto"/>
      </w:divBdr>
      <w:divsChild>
        <w:div w:id="64032185">
          <w:marLeft w:val="0"/>
          <w:marRight w:val="0"/>
          <w:marTop w:val="0"/>
          <w:marBottom w:val="0"/>
          <w:divBdr>
            <w:top w:val="none" w:sz="0" w:space="0" w:color="auto"/>
            <w:left w:val="none" w:sz="0" w:space="0" w:color="auto"/>
            <w:bottom w:val="none" w:sz="0" w:space="0" w:color="auto"/>
            <w:right w:val="none" w:sz="0" w:space="0" w:color="auto"/>
          </w:divBdr>
          <w:divsChild>
            <w:div w:id="196989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49080">
      <w:bodyDiv w:val="1"/>
      <w:marLeft w:val="0"/>
      <w:marRight w:val="0"/>
      <w:marTop w:val="0"/>
      <w:marBottom w:val="0"/>
      <w:divBdr>
        <w:top w:val="none" w:sz="0" w:space="0" w:color="auto"/>
        <w:left w:val="none" w:sz="0" w:space="0" w:color="auto"/>
        <w:bottom w:val="none" w:sz="0" w:space="0" w:color="auto"/>
        <w:right w:val="none" w:sz="0" w:space="0" w:color="auto"/>
      </w:divBdr>
      <w:divsChild>
        <w:div w:id="1395617152">
          <w:marLeft w:val="0"/>
          <w:marRight w:val="0"/>
          <w:marTop w:val="0"/>
          <w:marBottom w:val="0"/>
          <w:divBdr>
            <w:top w:val="none" w:sz="0" w:space="0" w:color="auto"/>
            <w:left w:val="none" w:sz="0" w:space="0" w:color="auto"/>
            <w:bottom w:val="none" w:sz="0" w:space="0" w:color="auto"/>
            <w:right w:val="none" w:sz="0" w:space="0" w:color="auto"/>
          </w:divBdr>
        </w:div>
      </w:divsChild>
    </w:div>
    <w:div w:id="37628733">
      <w:bodyDiv w:val="1"/>
      <w:marLeft w:val="0"/>
      <w:marRight w:val="0"/>
      <w:marTop w:val="0"/>
      <w:marBottom w:val="0"/>
      <w:divBdr>
        <w:top w:val="none" w:sz="0" w:space="0" w:color="auto"/>
        <w:left w:val="none" w:sz="0" w:space="0" w:color="auto"/>
        <w:bottom w:val="none" w:sz="0" w:space="0" w:color="auto"/>
        <w:right w:val="none" w:sz="0" w:space="0" w:color="auto"/>
      </w:divBdr>
      <w:divsChild>
        <w:div w:id="1498840013">
          <w:marLeft w:val="0"/>
          <w:marRight w:val="0"/>
          <w:marTop w:val="100"/>
          <w:marBottom w:val="100"/>
          <w:divBdr>
            <w:top w:val="none" w:sz="0" w:space="0" w:color="auto"/>
            <w:left w:val="none" w:sz="0" w:space="0" w:color="auto"/>
            <w:bottom w:val="none" w:sz="0" w:space="0" w:color="auto"/>
            <w:right w:val="none" w:sz="0" w:space="0" w:color="auto"/>
          </w:divBdr>
          <w:divsChild>
            <w:div w:id="1460147764">
              <w:marLeft w:val="0"/>
              <w:marRight w:val="0"/>
              <w:marTop w:val="0"/>
              <w:marBottom w:val="0"/>
              <w:divBdr>
                <w:top w:val="none" w:sz="0" w:space="0" w:color="auto"/>
                <w:left w:val="none" w:sz="0" w:space="0" w:color="auto"/>
                <w:bottom w:val="none" w:sz="0" w:space="0" w:color="auto"/>
                <w:right w:val="none" w:sz="0" w:space="0" w:color="auto"/>
              </w:divBdr>
              <w:divsChild>
                <w:div w:id="1157497178">
                  <w:marLeft w:val="105"/>
                  <w:marRight w:val="105"/>
                  <w:marTop w:val="150"/>
                  <w:marBottom w:val="150"/>
                  <w:divBdr>
                    <w:top w:val="none" w:sz="0" w:space="0" w:color="auto"/>
                    <w:left w:val="none" w:sz="0" w:space="0" w:color="auto"/>
                    <w:bottom w:val="none" w:sz="0" w:space="0" w:color="auto"/>
                    <w:right w:val="none" w:sz="0" w:space="0" w:color="auto"/>
                  </w:divBdr>
                  <w:divsChild>
                    <w:div w:id="446194343">
                      <w:marLeft w:val="0"/>
                      <w:marRight w:val="0"/>
                      <w:marTop w:val="0"/>
                      <w:marBottom w:val="0"/>
                      <w:divBdr>
                        <w:top w:val="none" w:sz="0" w:space="0" w:color="auto"/>
                        <w:left w:val="none" w:sz="0" w:space="0" w:color="auto"/>
                        <w:bottom w:val="none" w:sz="0" w:space="0" w:color="auto"/>
                        <w:right w:val="none" w:sz="0" w:space="0" w:color="auto"/>
                      </w:divBdr>
                      <w:divsChild>
                        <w:div w:id="159514691">
                          <w:marLeft w:val="0"/>
                          <w:marRight w:val="0"/>
                          <w:marTop w:val="0"/>
                          <w:marBottom w:val="0"/>
                          <w:divBdr>
                            <w:top w:val="none" w:sz="0" w:space="0" w:color="auto"/>
                            <w:left w:val="none" w:sz="0" w:space="0" w:color="auto"/>
                            <w:bottom w:val="none" w:sz="0" w:space="0" w:color="auto"/>
                            <w:right w:val="none" w:sz="0" w:space="0" w:color="auto"/>
                          </w:divBdr>
                          <w:divsChild>
                            <w:div w:id="1409225192">
                              <w:marLeft w:val="0"/>
                              <w:marRight w:val="0"/>
                              <w:marTop w:val="0"/>
                              <w:marBottom w:val="0"/>
                              <w:divBdr>
                                <w:top w:val="none" w:sz="0" w:space="0" w:color="auto"/>
                                <w:left w:val="none" w:sz="0" w:space="0" w:color="auto"/>
                                <w:bottom w:val="none" w:sz="0" w:space="0" w:color="auto"/>
                                <w:right w:val="none" w:sz="0" w:space="0" w:color="auto"/>
                              </w:divBdr>
                              <w:divsChild>
                                <w:div w:id="650914381">
                                  <w:marLeft w:val="105"/>
                                  <w:marRight w:val="105"/>
                                  <w:marTop w:val="150"/>
                                  <w:marBottom w:val="150"/>
                                  <w:divBdr>
                                    <w:top w:val="none" w:sz="0" w:space="0" w:color="auto"/>
                                    <w:left w:val="none" w:sz="0" w:space="0" w:color="auto"/>
                                    <w:bottom w:val="none" w:sz="0" w:space="0" w:color="auto"/>
                                    <w:right w:val="none" w:sz="0" w:space="0" w:color="auto"/>
                                  </w:divBdr>
                                  <w:divsChild>
                                    <w:div w:id="1652059912">
                                      <w:marLeft w:val="0"/>
                                      <w:marRight w:val="0"/>
                                      <w:marTop w:val="0"/>
                                      <w:marBottom w:val="0"/>
                                      <w:divBdr>
                                        <w:top w:val="none" w:sz="0" w:space="0" w:color="auto"/>
                                        <w:left w:val="none" w:sz="0" w:space="0" w:color="auto"/>
                                        <w:bottom w:val="none" w:sz="0" w:space="0" w:color="auto"/>
                                        <w:right w:val="none" w:sz="0" w:space="0" w:color="auto"/>
                                      </w:divBdr>
                                      <w:divsChild>
                                        <w:div w:id="524293588">
                                          <w:marLeft w:val="0"/>
                                          <w:marRight w:val="0"/>
                                          <w:marTop w:val="0"/>
                                          <w:marBottom w:val="0"/>
                                          <w:divBdr>
                                            <w:top w:val="none" w:sz="0" w:space="0" w:color="auto"/>
                                            <w:left w:val="none" w:sz="0" w:space="0" w:color="auto"/>
                                            <w:bottom w:val="none" w:sz="0" w:space="0" w:color="auto"/>
                                            <w:right w:val="none" w:sz="0" w:space="0" w:color="auto"/>
                                          </w:divBdr>
                                          <w:divsChild>
                                            <w:div w:id="1955362658">
                                              <w:marLeft w:val="0"/>
                                              <w:marRight w:val="0"/>
                                              <w:marTop w:val="0"/>
                                              <w:marBottom w:val="0"/>
                                              <w:divBdr>
                                                <w:top w:val="none" w:sz="0" w:space="0" w:color="auto"/>
                                                <w:left w:val="none" w:sz="0" w:space="0" w:color="auto"/>
                                                <w:bottom w:val="none" w:sz="0" w:space="0" w:color="auto"/>
                                                <w:right w:val="none" w:sz="0" w:space="0" w:color="auto"/>
                                              </w:divBdr>
                                              <w:divsChild>
                                                <w:div w:id="1986472602">
                                                  <w:marLeft w:val="0"/>
                                                  <w:marRight w:val="0"/>
                                                  <w:marTop w:val="0"/>
                                                  <w:marBottom w:val="0"/>
                                                  <w:divBdr>
                                                    <w:top w:val="none" w:sz="0" w:space="0" w:color="auto"/>
                                                    <w:left w:val="none" w:sz="0" w:space="0" w:color="auto"/>
                                                    <w:bottom w:val="none" w:sz="0" w:space="0" w:color="auto"/>
                                                    <w:right w:val="none" w:sz="0" w:space="0" w:color="auto"/>
                                                  </w:divBdr>
                                                  <w:divsChild>
                                                    <w:div w:id="1679233008">
                                                      <w:marLeft w:val="105"/>
                                                      <w:marRight w:val="105"/>
                                                      <w:marTop w:val="150"/>
                                                      <w:marBottom w:val="150"/>
                                                      <w:divBdr>
                                                        <w:top w:val="none" w:sz="0" w:space="0" w:color="auto"/>
                                                        <w:left w:val="none" w:sz="0" w:space="0" w:color="auto"/>
                                                        <w:bottom w:val="none" w:sz="0" w:space="0" w:color="auto"/>
                                                        <w:right w:val="none" w:sz="0" w:space="0" w:color="auto"/>
                                                      </w:divBdr>
                                                      <w:divsChild>
                                                        <w:div w:id="749232881">
                                                          <w:marLeft w:val="0"/>
                                                          <w:marRight w:val="0"/>
                                                          <w:marTop w:val="0"/>
                                                          <w:marBottom w:val="0"/>
                                                          <w:divBdr>
                                                            <w:top w:val="none" w:sz="0" w:space="0" w:color="auto"/>
                                                            <w:left w:val="none" w:sz="0" w:space="0" w:color="auto"/>
                                                            <w:bottom w:val="none" w:sz="0" w:space="0" w:color="auto"/>
                                                            <w:right w:val="none" w:sz="0" w:space="0" w:color="auto"/>
                                                          </w:divBdr>
                                                          <w:divsChild>
                                                            <w:div w:id="1406952753">
                                                              <w:marLeft w:val="0"/>
                                                              <w:marRight w:val="0"/>
                                                              <w:marTop w:val="0"/>
                                                              <w:marBottom w:val="0"/>
                                                              <w:divBdr>
                                                                <w:top w:val="none" w:sz="0" w:space="0" w:color="auto"/>
                                                                <w:left w:val="none" w:sz="0" w:space="0" w:color="auto"/>
                                                                <w:bottom w:val="none" w:sz="0" w:space="0" w:color="auto"/>
                                                                <w:right w:val="none" w:sz="0" w:space="0" w:color="auto"/>
                                                              </w:divBdr>
                                                              <w:divsChild>
                                                                <w:div w:id="1378044905">
                                                                  <w:marLeft w:val="0"/>
                                                                  <w:marRight w:val="0"/>
                                                                  <w:marTop w:val="0"/>
                                                                  <w:marBottom w:val="0"/>
                                                                  <w:divBdr>
                                                                    <w:top w:val="none" w:sz="0" w:space="0" w:color="auto"/>
                                                                    <w:left w:val="none" w:sz="0" w:space="0" w:color="auto"/>
                                                                    <w:bottom w:val="none" w:sz="0" w:space="0" w:color="auto"/>
                                                                    <w:right w:val="none" w:sz="0" w:space="0" w:color="auto"/>
                                                                  </w:divBdr>
                                                                  <w:divsChild>
                                                                    <w:div w:id="1537885184">
                                                                      <w:marLeft w:val="0"/>
                                                                      <w:marRight w:val="0"/>
                                                                      <w:marTop w:val="0"/>
                                                                      <w:marBottom w:val="0"/>
                                                                      <w:divBdr>
                                                                        <w:top w:val="none" w:sz="0" w:space="0" w:color="auto"/>
                                                                        <w:left w:val="none" w:sz="0" w:space="0" w:color="auto"/>
                                                                        <w:bottom w:val="none" w:sz="0" w:space="0" w:color="auto"/>
                                                                        <w:right w:val="none" w:sz="0" w:space="0" w:color="auto"/>
                                                                      </w:divBdr>
                                                                      <w:divsChild>
                                                                        <w:div w:id="1789078243">
                                                                          <w:marLeft w:val="0"/>
                                                                          <w:marRight w:val="0"/>
                                                                          <w:marTop w:val="0"/>
                                                                          <w:marBottom w:val="0"/>
                                                                          <w:divBdr>
                                                                            <w:top w:val="none" w:sz="0" w:space="0" w:color="auto"/>
                                                                            <w:left w:val="none" w:sz="0" w:space="0" w:color="auto"/>
                                                                            <w:bottom w:val="none" w:sz="0" w:space="0" w:color="auto"/>
                                                                            <w:right w:val="none" w:sz="0" w:space="0" w:color="auto"/>
                                                                          </w:divBdr>
                                                                          <w:divsChild>
                                                                            <w:div w:id="1257904212">
                                                                              <w:marLeft w:val="105"/>
                                                                              <w:marRight w:val="105"/>
                                                                              <w:marTop w:val="150"/>
                                                                              <w:marBottom w:val="150"/>
                                                                              <w:divBdr>
                                                                                <w:top w:val="none" w:sz="0" w:space="0" w:color="auto"/>
                                                                                <w:left w:val="none" w:sz="0" w:space="0" w:color="auto"/>
                                                                                <w:bottom w:val="none" w:sz="0" w:space="0" w:color="auto"/>
                                                                                <w:right w:val="none" w:sz="0" w:space="0" w:color="auto"/>
                                                                              </w:divBdr>
                                                                              <w:divsChild>
                                                                                <w:div w:id="446433436">
                                                                                  <w:marLeft w:val="0"/>
                                                                                  <w:marRight w:val="0"/>
                                                                                  <w:marTop w:val="0"/>
                                                                                  <w:marBottom w:val="0"/>
                                                                                  <w:divBdr>
                                                                                    <w:top w:val="none" w:sz="0" w:space="0" w:color="auto"/>
                                                                                    <w:left w:val="none" w:sz="0" w:space="0" w:color="auto"/>
                                                                                    <w:bottom w:val="none" w:sz="0" w:space="0" w:color="auto"/>
                                                                                    <w:right w:val="none" w:sz="0" w:space="0" w:color="auto"/>
                                                                                  </w:divBdr>
                                                                                  <w:divsChild>
                                                                                    <w:div w:id="743646508">
                                                                                      <w:marLeft w:val="0"/>
                                                                                      <w:marRight w:val="0"/>
                                                                                      <w:marTop w:val="0"/>
                                                                                      <w:marBottom w:val="0"/>
                                                                                      <w:divBdr>
                                                                                        <w:top w:val="none" w:sz="0" w:space="0" w:color="auto"/>
                                                                                        <w:left w:val="none" w:sz="0" w:space="0" w:color="auto"/>
                                                                                        <w:bottom w:val="none" w:sz="0" w:space="0" w:color="auto"/>
                                                                                        <w:right w:val="none" w:sz="0" w:space="0" w:color="auto"/>
                                                                                      </w:divBdr>
                                                                                      <w:divsChild>
                                                                                        <w:div w:id="1241059584">
                                                                                          <w:marLeft w:val="0"/>
                                                                                          <w:marRight w:val="0"/>
                                                                                          <w:marTop w:val="0"/>
                                                                                          <w:marBottom w:val="0"/>
                                                                                          <w:divBdr>
                                                                                            <w:top w:val="none" w:sz="0" w:space="0" w:color="auto"/>
                                                                                            <w:left w:val="none" w:sz="0" w:space="0" w:color="auto"/>
                                                                                            <w:bottom w:val="none" w:sz="0" w:space="0" w:color="auto"/>
                                                                                            <w:right w:val="none" w:sz="0" w:space="0" w:color="auto"/>
                                                                                          </w:divBdr>
                                                                                          <w:divsChild>
                                                                                            <w:div w:id="1818718598">
                                                                                              <w:marLeft w:val="0"/>
                                                                                              <w:marRight w:val="0"/>
                                                                                              <w:marTop w:val="0"/>
                                                                                              <w:marBottom w:val="0"/>
                                                                                              <w:divBdr>
                                                                                                <w:top w:val="none" w:sz="0" w:space="0" w:color="auto"/>
                                                                                                <w:left w:val="none" w:sz="0" w:space="0" w:color="auto"/>
                                                                                                <w:bottom w:val="none" w:sz="0" w:space="0" w:color="auto"/>
                                                                                                <w:right w:val="none" w:sz="0" w:space="0" w:color="auto"/>
                                                                                              </w:divBdr>
                                                                                              <w:divsChild>
                                                                                                <w:div w:id="1589147946">
                                                                                                  <w:marLeft w:val="0"/>
                                                                                                  <w:marRight w:val="0"/>
                                                                                                  <w:marTop w:val="0"/>
                                                                                                  <w:marBottom w:val="0"/>
                                                                                                  <w:divBdr>
                                                                                                    <w:top w:val="none" w:sz="0" w:space="0" w:color="auto"/>
                                                                                                    <w:left w:val="none" w:sz="0" w:space="0" w:color="auto"/>
                                                                                                    <w:bottom w:val="none" w:sz="0" w:space="0" w:color="auto"/>
                                                                                                    <w:right w:val="none" w:sz="0" w:space="0" w:color="auto"/>
                                                                                                  </w:divBdr>
                                                                                                  <w:divsChild>
                                                                                                    <w:div w:id="1193761117">
                                                                                                      <w:marLeft w:val="0"/>
                                                                                                      <w:marRight w:val="0"/>
                                                                                                      <w:marTop w:val="0"/>
                                                                                                      <w:marBottom w:val="0"/>
                                                                                                      <w:divBdr>
                                                                                                        <w:top w:val="none" w:sz="0" w:space="0" w:color="auto"/>
                                                                                                        <w:left w:val="none" w:sz="0" w:space="0" w:color="auto"/>
                                                                                                        <w:bottom w:val="none" w:sz="0" w:space="0" w:color="auto"/>
                                                                                                        <w:right w:val="none" w:sz="0" w:space="0" w:color="auto"/>
                                                                                                      </w:divBdr>
                                                                                                      <w:divsChild>
                                                                                                        <w:div w:id="444538240">
                                                                                                          <w:marLeft w:val="0"/>
                                                                                                          <w:marRight w:val="0"/>
                                                                                                          <w:marTop w:val="0"/>
                                                                                                          <w:marBottom w:val="0"/>
                                                                                                          <w:divBdr>
                                                                                                            <w:top w:val="none" w:sz="0" w:space="0" w:color="auto"/>
                                                                                                            <w:left w:val="none" w:sz="0" w:space="0" w:color="auto"/>
                                                                                                            <w:bottom w:val="none" w:sz="0" w:space="0" w:color="auto"/>
                                                                                                            <w:right w:val="none" w:sz="0" w:space="0" w:color="auto"/>
                                                                                                          </w:divBdr>
                                                                                                          <w:divsChild>
                                                                                                            <w:div w:id="1440642914">
                                                                                                              <w:marLeft w:val="0"/>
                                                                                                              <w:marRight w:val="0"/>
                                                                                                              <w:marTop w:val="0"/>
                                                                                                              <w:marBottom w:val="0"/>
                                                                                                              <w:divBdr>
                                                                                                                <w:top w:val="none" w:sz="0" w:space="0" w:color="auto"/>
                                                                                                                <w:left w:val="none" w:sz="0" w:space="0" w:color="auto"/>
                                                                                                                <w:bottom w:val="none" w:sz="0" w:space="0" w:color="auto"/>
                                                                                                                <w:right w:val="none" w:sz="0" w:space="0" w:color="auto"/>
                                                                                                              </w:divBdr>
                                                                                                              <w:divsChild>
                                                                                                                <w:div w:id="1330135874">
                                                                                                                  <w:marLeft w:val="0"/>
                                                                                                                  <w:marRight w:val="0"/>
                                                                                                                  <w:marTop w:val="0"/>
                                                                                                                  <w:marBottom w:val="0"/>
                                                                                                                  <w:divBdr>
                                                                                                                    <w:top w:val="none" w:sz="0" w:space="0" w:color="auto"/>
                                                                                                                    <w:left w:val="none" w:sz="0" w:space="0" w:color="auto"/>
                                                                                                                    <w:bottom w:val="none" w:sz="0" w:space="0" w:color="auto"/>
                                                                                                                    <w:right w:val="none" w:sz="0" w:space="0" w:color="auto"/>
                                                                                                                  </w:divBdr>
                                                                                                                  <w:divsChild>
                                                                                                                    <w:div w:id="1448549947">
                                                                                                                      <w:marLeft w:val="0"/>
                                                                                                                      <w:marRight w:val="0"/>
                                                                                                                      <w:marTop w:val="0"/>
                                                                                                                      <w:marBottom w:val="0"/>
                                                                                                                      <w:divBdr>
                                                                                                                        <w:top w:val="none" w:sz="0" w:space="0" w:color="auto"/>
                                                                                                                        <w:left w:val="none" w:sz="0" w:space="0" w:color="auto"/>
                                                                                                                        <w:bottom w:val="none" w:sz="0" w:space="0" w:color="auto"/>
                                                                                                                        <w:right w:val="none" w:sz="0" w:space="0" w:color="auto"/>
                                                                                                                      </w:divBdr>
                                                                                                                      <w:divsChild>
                                                                                                                        <w:div w:id="17902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991698">
      <w:bodyDiv w:val="1"/>
      <w:marLeft w:val="0"/>
      <w:marRight w:val="0"/>
      <w:marTop w:val="0"/>
      <w:marBottom w:val="0"/>
      <w:divBdr>
        <w:top w:val="none" w:sz="0" w:space="0" w:color="auto"/>
        <w:left w:val="none" w:sz="0" w:space="0" w:color="auto"/>
        <w:bottom w:val="none" w:sz="0" w:space="0" w:color="auto"/>
        <w:right w:val="none" w:sz="0" w:space="0" w:color="auto"/>
      </w:divBdr>
      <w:divsChild>
        <w:div w:id="1838690487">
          <w:marLeft w:val="0"/>
          <w:marRight w:val="0"/>
          <w:marTop w:val="0"/>
          <w:marBottom w:val="0"/>
          <w:divBdr>
            <w:top w:val="none" w:sz="0" w:space="0" w:color="auto"/>
            <w:left w:val="none" w:sz="0" w:space="0" w:color="auto"/>
            <w:bottom w:val="none" w:sz="0" w:space="0" w:color="auto"/>
            <w:right w:val="none" w:sz="0" w:space="0" w:color="auto"/>
          </w:divBdr>
          <w:divsChild>
            <w:div w:id="579606769">
              <w:marLeft w:val="0"/>
              <w:marRight w:val="0"/>
              <w:marTop w:val="0"/>
              <w:marBottom w:val="0"/>
              <w:divBdr>
                <w:top w:val="none" w:sz="0" w:space="0" w:color="auto"/>
                <w:left w:val="none" w:sz="0" w:space="0" w:color="auto"/>
                <w:bottom w:val="none" w:sz="0" w:space="0" w:color="auto"/>
                <w:right w:val="none" w:sz="0" w:space="0" w:color="auto"/>
              </w:divBdr>
              <w:divsChild>
                <w:div w:id="618603964">
                  <w:marLeft w:val="0"/>
                  <w:marRight w:val="0"/>
                  <w:marTop w:val="0"/>
                  <w:marBottom w:val="0"/>
                  <w:divBdr>
                    <w:top w:val="none" w:sz="0" w:space="0" w:color="auto"/>
                    <w:left w:val="none" w:sz="0" w:space="0" w:color="auto"/>
                    <w:bottom w:val="none" w:sz="0" w:space="0" w:color="auto"/>
                    <w:right w:val="none" w:sz="0" w:space="0" w:color="auto"/>
                  </w:divBdr>
                  <w:divsChild>
                    <w:div w:id="1240557813">
                      <w:marLeft w:val="0"/>
                      <w:marRight w:val="0"/>
                      <w:marTop w:val="0"/>
                      <w:marBottom w:val="0"/>
                      <w:divBdr>
                        <w:top w:val="none" w:sz="0" w:space="0" w:color="auto"/>
                        <w:left w:val="none" w:sz="0" w:space="0" w:color="auto"/>
                        <w:bottom w:val="none" w:sz="0" w:space="0" w:color="auto"/>
                        <w:right w:val="none" w:sz="0" w:space="0" w:color="auto"/>
                      </w:divBdr>
                      <w:divsChild>
                        <w:div w:id="1778451355">
                          <w:marLeft w:val="0"/>
                          <w:marRight w:val="0"/>
                          <w:marTop w:val="0"/>
                          <w:marBottom w:val="0"/>
                          <w:divBdr>
                            <w:top w:val="none" w:sz="0" w:space="0" w:color="auto"/>
                            <w:left w:val="none" w:sz="0" w:space="0" w:color="auto"/>
                            <w:bottom w:val="none" w:sz="0" w:space="0" w:color="auto"/>
                            <w:right w:val="none" w:sz="0" w:space="0" w:color="auto"/>
                          </w:divBdr>
                          <w:divsChild>
                            <w:div w:id="798957129">
                              <w:marLeft w:val="0"/>
                              <w:marRight w:val="0"/>
                              <w:marTop w:val="0"/>
                              <w:marBottom w:val="0"/>
                              <w:divBdr>
                                <w:top w:val="none" w:sz="0" w:space="0" w:color="auto"/>
                                <w:left w:val="none" w:sz="0" w:space="0" w:color="auto"/>
                                <w:bottom w:val="none" w:sz="0" w:space="0" w:color="auto"/>
                                <w:right w:val="none" w:sz="0" w:space="0" w:color="auto"/>
                              </w:divBdr>
                              <w:divsChild>
                                <w:div w:id="620185463">
                                  <w:marLeft w:val="0"/>
                                  <w:marRight w:val="0"/>
                                  <w:marTop w:val="0"/>
                                  <w:marBottom w:val="0"/>
                                  <w:divBdr>
                                    <w:top w:val="none" w:sz="0" w:space="0" w:color="auto"/>
                                    <w:left w:val="none" w:sz="0" w:space="0" w:color="auto"/>
                                    <w:bottom w:val="none" w:sz="0" w:space="0" w:color="auto"/>
                                    <w:right w:val="none" w:sz="0" w:space="0" w:color="auto"/>
                                  </w:divBdr>
                                </w:div>
                                <w:div w:id="169338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732562">
      <w:bodyDiv w:val="1"/>
      <w:marLeft w:val="0"/>
      <w:marRight w:val="0"/>
      <w:marTop w:val="0"/>
      <w:marBottom w:val="0"/>
      <w:divBdr>
        <w:top w:val="none" w:sz="0" w:space="0" w:color="auto"/>
        <w:left w:val="none" w:sz="0" w:space="0" w:color="auto"/>
        <w:bottom w:val="none" w:sz="0" w:space="0" w:color="auto"/>
        <w:right w:val="none" w:sz="0" w:space="0" w:color="auto"/>
      </w:divBdr>
    </w:div>
    <w:div w:id="91823495">
      <w:bodyDiv w:val="1"/>
      <w:marLeft w:val="75"/>
      <w:marRight w:val="75"/>
      <w:marTop w:val="0"/>
      <w:marBottom w:val="0"/>
      <w:divBdr>
        <w:top w:val="none" w:sz="0" w:space="0" w:color="auto"/>
        <w:left w:val="none" w:sz="0" w:space="0" w:color="auto"/>
        <w:bottom w:val="none" w:sz="0" w:space="0" w:color="auto"/>
        <w:right w:val="none" w:sz="0" w:space="0" w:color="auto"/>
      </w:divBdr>
      <w:divsChild>
        <w:div w:id="1895849817">
          <w:marLeft w:val="0"/>
          <w:marRight w:val="0"/>
          <w:marTop w:val="0"/>
          <w:marBottom w:val="0"/>
          <w:divBdr>
            <w:top w:val="none" w:sz="0" w:space="0" w:color="auto"/>
            <w:left w:val="none" w:sz="0" w:space="0" w:color="auto"/>
            <w:bottom w:val="none" w:sz="0" w:space="0" w:color="auto"/>
            <w:right w:val="none" w:sz="0" w:space="0" w:color="auto"/>
          </w:divBdr>
          <w:divsChild>
            <w:div w:id="211042014">
              <w:marLeft w:val="0"/>
              <w:marRight w:val="0"/>
              <w:marTop w:val="0"/>
              <w:marBottom w:val="0"/>
              <w:divBdr>
                <w:top w:val="none" w:sz="0" w:space="0" w:color="auto"/>
                <w:left w:val="none" w:sz="0" w:space="0" w:color="auto"/>
                <w:bottom w:val="none" w:sz="0" w:space="0" w:color="auto"/>
                <w:right w:val="none" w:sz="0" w:space="0" w:color="auto"/>
              </w:divBdr>
              <w:divsChild>
                <w:div w:id="1941405111">
                  <w:marLeft w:val="0"/>
                  <w:marRight w:val="0"/>
                  <w:marTop w:val="0"/>
                  <w:marBottom w:val="0"/>
                  <w:divBdr>
                    <w:top w:val="single" w:sz="6" w:space="0" w:color="CCCCCC"/>
                    <w:left w:val="single" w:sz="6" w:space="0" w:color="CCCCCC"/>
                    <w:bottom w:val="single" w:sz="6" w:space="0" w:color="CCCCCC"/>
                    <w:right w:val="single" w:sz="6" w:space="0" w:color="CCCCCC"/>
                  </w:divBdr>
                  <w:divsChild>
                    <w:div w:id="2022773771">
                      <w:marLeft w:val="0"/>
                      <w:marRight w:val="0"/>
                      <w:marTop w:val="0"/>
                      <w:marBottom w:val="0"/>
                      <w:divBdr>
                        <w:top w:val="none" w:sz="0" w:space="0" w:color="auto"/>
                        <w:left w:val="none" w:sz="0" w:space="0" w:color="auto"/>
                        <w:bottom w:val="none" w:sz="0" w:space="0" w:color="auto"/>
                        <w:right w:val="none" w:sz="0" w:space="0" w:color="auto"/>
                      </w:divBdr>
                      <w:divsChild>
                        <w:div w:id="1971594979">
                          <w:marLeft w:val="0"/>
                          <w:marRight w:val="0"/>
                          <w:marTop w:val="0"/>
                          <w:marBottom w:val="0"/>
                          <w:divBdr>
                            <w:top w:val="none" w:sz="0" w:space="0" w:color="auto"/>
                            <w:left w:val="none" w:sz="0" w:space="0" w:color="auto"/>
                            <w:bottom w:val="none" w:sz="0" w:space="0" w:color="auto"/>
                            <w:right w:val="none" w:sz="0" w:space="0" w:color="auto"/>
                          </w:divBdr>
                          <w:divsChild>
                            <w:div w:id="453184049">
                              <w:marLeft w:val="240"/>
                              <w:marRight w:val="0"/>
                              <w:marTop w:val="0"/>
                              <w:marBottom w:val="240"/>
                              <w:divBdr>
                                <w:top w:val="none" w:sz="0" w:space="0" w:color="auto"/>
                                <w:left w:val="none" w:sz="0" w:space="0" w:color="auto"/>
                                <w:bottom w:val="none" w:sz="0" w:space="0" w:color="auto"/>
                                <w:right w:val="none" w:sz="0" w:space="0" w:color="auto"/>
                              </w:divBdr>
                              <w:divsChild>
                                <w:div w:id="1071074736">
                                  <w:marLeft w:val="0"/>
                                  <w:marRight w:val="0"/>
                                  <w:marTop w:val="0"/>
                                  <w:marBottom w:val="0"/>
                                  <w:divBdr>
                                    <w:top w:val="none" w:sz="0" w:space="0" w:color="auto"/>
                                    <w:left w:val="none" w:sz="0" w:space="0" w:color="auto"/>
                                    <w:bottom w:val="none" w:sz="0" w:space="0" w:color="auto"/>
                                    <w:right w:val="none" w:sz="0" w:space="0" w:color="auto"/>
                                  </w:divBdr>
                                </w:div>
                                <w:div w:id="204159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1494">
      <w:bodyDiv w:val="1"/>
      <w:marLeft w:val="0"/>
      <w:marRight w:val="0"/>
      <w:marTop w:val="0"/>
      <w:marBottom w:val="0"/>
      <w:divBdr>
        <w:top w:val="none" w:sz="0" w:space="0" w:color="auto"/>
        <w:left w:val="none" w:sz="0" w:space="0" w:color="auto"/>
        <w:bottom w:val="none" w:sz="0" w:space="0" w:color="auto"/>
        <w:right w:val="none" w:sz="0" w:space="0" w:color="auto"/>
      </w:divBdr>
    </w:div>
    <w:div w:id="103502849">
      <w:bodyDiv w:val="1"/>
      <w:marLeft w:val="0"/>
      <w:marRight w:val="0"/>
      <w:marTop w:val="0"/>
      <w:marBottom w:val="0"/>
      <w:divBdr>
        <w:top w:val="none" w:sz="0" w:space="0" w:color="auto"/>
        <w:left w:val="none" w:sz="0" w:space="0" w:color="auto"/>
        <w:bottom w:val="none" w:sz="0" w:space="0" w:color="auto"/>
        <w:right w:val="none" w:sz="0" w:space="0" w:color="auto"/>
      </w:divBdr>
      <w:divsChild>
        <w:div w:id="113912531">
          <w:marLeft w:val="0"/>
          <w:marRight w:val="0"/>
          <w:marTop w:val="0"/>
          <w:marBottom w:val="150"/>
          <w:divBdr>
            <w:top w:val="none" w:sz="0" w:space="0" w:color="auto"/>
            <w:left w:val="none" w:sz="0" w:space="0" w:color="auto"/>
            <w:bottom w:val="none" w:sz="0" w:space="0" w:color="auto"/>
            <w:right w:val="none" w:sz="0" w:space="0" w:color="auto"/>
          </w:divBdr>
          <w:divsChild>
            <w:div w:id="1090464314">
              <w:marLeft w:val="360"/>
              <w:marRight w:val="0"/>
              <w:marTop w:val="0"/>
              <w:marBottom w:val="0"/>
              <w:divBdr>
                <w:top w:val="none" w:sz="0" w:space="0" w:color="auto"/>
                <w:left w:val="none" w:sz="0" w:space="0" w:color="auto"/>
                <w:bottom w:val="none" w:sz="0" w:space="0" w:color="auto"/>
                <w:right w:val="none" w:sz="0" w:space="0" w:color="auto"/>
              </w:divBdr>
              <w:divsChild>
                <w:div w:id="159778236">
                  <w:marLeft w:val="360"/>
                  <w:marRight w:val="0"/>
                  <w:marTop w:val="0"/>
                  <w:marBottom w:val="0"/>
                  <w:divBdr>
                    <w:top w:val="none" w:sz="0" w:space="0" w:color="auto"/>
                    <w:left w:val="none" w:sz="0" w:space="0" w:color="auto"/>
                    <w:bottom w:val="none" w:sz="0" w:space="0" w:color="auto"/>
                    <w:right w:val="none" w:sz="0" w:space="0" w:color="auto"/>
                  </w:divBdr>
                </w:div>
                <w:div w:id="278341356">
                  <w:marLeft w:val="360"/>
                  <w:marRight w:val="0"/>
                  <w:marTop w:val="0"/>
                  <w:marBottom w:val="0"/>
                  <w:divBdr>
                    <w:top w:val="none" w:sz="0" w:space="0" w:color="auto"/>
                    <w:left w:val="none" w:sz="0" w:space="0" w:color="auto"/>
                    <w:bottom w:val="none" w:sz="0" w:space="0" w:color="auto"/>
                    <w:right w:val="none" w:sz="0" w:space="0" w:color="auto"/>
                  </w:divBdr>
                </w:div>
                <w:div w:id="158410192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57404">
      <w:bodyDiv w:val="1"/>
      <w:marLeft w:val="75"/>
      <w:marRight w:val="75"/>
      <w:marTop w:val="150"/>
      <w:marBottom w:val="0"/>
      <w:divBdr>
        <w:top w:val="none" w:sz="0" w:space="0" w:color="auto"/>
        <w:left w:val="none" w:sz="0" w:space="0" w:color="auto"/>
        <w:bottom w:val="none" w:sz="0" w:space="0" w:color="auto"/>
        <w:right w:val="none" w:sz="0" w:space="0" w:color="auto"/>
      </w:divBdr>
      <w:divsChild>
        <w:div w:id="41486373">
          <w:marLeft w:val="360"/>
          <w:marRight w:val="0"/>
          <w:marTop w:val="0"/>
          <w:marBottom w:val="0"/>
          <w:divBdr>
            <w:top w:val="none" w:sz="0" w:space="0" w:color="auto"/>
            <w:left w:val="none" w:sz="0" w:space="0" w:color="auto"/>
            <w:bottom w:val="none" w:sz="0" w:space="0" w:color="auto"/>
            <w:right w:val="none" w:sz="0" w:space="0" w:color="auto"/>
          </w:divBdr>
        </w:div>
        <w:div w:id="448282426">
          <w:marLeft w:val="360"/>
          <w:marRight w:val="0"/>
          <w:marTop w:val="0"/>
          <w:marBottom w:val="0"/>
          <w:divBdr>
            <w:top w:val="none" w:sz="0" w:space="0" w:color="auto"/>
            <w:left w:val="none" w:sz="0" w:space="0" w:color="auto"/>
            <w:bottom w:val="none" w:sz="0" w:space="0" w:color="auto"/>
            <w:right w:val="none" w:sz="0" w:space="0" w:color="auto"/>
          </w:divBdr>
        </w:div>
        <w:div w:id="475532454">
          <w:marLeft w:val="360"/>
          <w:marRight w:val="0"/>
          <w:marTop w:val="0"/>
          <w:marBottom w:val="0"/>
          <w:divBdr>
            <w:top w:val="none" w:sz="0" w:space="0" w:color="auto"/>
            <w:left w:val="none" w:sz="0" w:space="0" w:color="auto"/>
            <w:bottom w:val="none" w:sz="0" w:space="0" w:color="auto"/>
            <w:right w:val="none" w:sz="0" w:space="0" w:color="auto"/>
          </w:divBdr>
        </w:div>
        <w:div w:id="622155600">
          <w:marLeft w:val="360"/>
          <w:marRight w:val="0"/>
          <w:marTop w:val="0"/>
          <w:marBottom w:val="0"/>
          <w:divBdr>
            <w:top w:val="none" w:sz="0" w:space="0" w:color="auto"/>
            <w:left w:val="none" w:sz="0" w:space="0" w:color="auto"/>
            <w:bottom w:val="none" w:sz="0" w:space="0" w:color="auto"/>
            <w:right w:val="none" w:sz="0" w:space="0" w:color="auto"/>
          </w:divBdr>
        </w:div>
        <w:div w:id="843133966">
          <w:marLeft w:val="360"/>
          <w:marRight w:val="0"/>
          <w:marTop w:val="0"/>
          <w:marBottom w:val="0"/>
          <w:divBdr>
            <w:top w:val="none" w:sz="0" w:space="0" w:color="auto"/>
            <w:left w:val="none" w:sz="0" w:space="0" w:color="auto"/>
            <w:bottom w:val="none" w:sz="0" w:space="0" w:color="auto"/>
            <w:right w:val="none" w:sz="0" w:space="0" w:color="auto"/>
          </w:divBdr>
        </w:div>
        <w:div w:id="1139151106">
          <w:marLeft w:val="360"/>
          <w:marRight w:val="0"/>
          <w:marTop w:val="0"/>
          <w:marBottom w:val="0"/>
          <w:divBdr>
            <w:top w:val="none" w:sz="0" w:space="0" w:color="auto"/>
            <w:left w:val="none" w:sz="0" w:space="0" w:color="auto"/>
            <w:bottom w:val="none" w:sz="0" w:space="0" w:color="auto"/>
            <w:right w:val="none" w:sz="0" w:space="0" w:color="auto"/>
          </w:divBdr>
        </w:div>
        <w:div w:id="1246888326">
          <w:marLeft w:val="360"/>
          <w:marRight w:val="0"/>
          <w:marTop w:val="0"/>
          <w:marBottom w:val="0"/>
          <w:divBdr>
            <w:top w:val="none" w:sz="0" w:space="0" w:color="auto"/>
            <w:left w:val="none" w:sz="0" w:space="0" w:color="auto"/>
            <w:bottom w:val="none" w:sz="0" w:space="0" w:color="auto"/>
            <w:right w:val="none" w:sz="0" w:space="0" w:color="auto"/>
          </w:divBdr>
        </w:div>
        <w:div w:id="1724139894">
          <w:marLeft w:val="360"/>
          <w:marRight w:val="0"/>
          <w:marTop w:val="0"/>
          <w:marBottom w:val="0"/>
          <w:divBdr>
            <w:top w:val="none" w:sz="0" w:space="0" w:color="auto"/>
            <w:left w:val="none" w:sz="0" w:space="0" w:color="auto"/>
            <w:bottom w:val="none" w:sz="0" w:space="0" w:color="auto"/>
            <w:right w:val="none" w:sz="0" w:space="0" w:color="auto"/>
          </w:divBdr>
        </w:div>
        <w:div w:id="1815248641">
          <w:marLeft w:val="360"/>
          <w:marRight w:val="0"/>
          <w:marTop w:val="0"/>
          <w:marBottom w:val="0"/>
          <w:divBdr>
            <w:top w:val="none" w:sz="0" w:space="0" w:color="auto"/>
            <w:left w:val="none" w:sz="0" w:space="0" w:color="auto"/>
            <w:bottom w:val="none" w:sz="0" w:space="0" w:color="auto"/>
            <w:right w:val="none" w:sz="0" w:space="0" w:color="auto"/>
          </w:divBdr>
        </w:div>
        <w:div w:id="1900170141">
          <w:marLeft w:val="360"/>
          <w:marRight w:val="0"/>
          <w:marTop w:val="0"/>
          <w:marBottom w:val="0"/>
          <w:divBdr>
            <w:top w:val="none" w:sz="0" w:space="0" w:color="auto"/>
            <w:left w:val="none" w:sz="0" w:space="0" w:color="auto"/>
            <w:bottom w:val="none" w:sz="0" w:space="0" w:color="auto"/>
            <w:right w:val="none" w:sz="0" w:space="0" w:color="auto"/>
          </w:divBdr>
        </w:div>
        <w:div w:id="1914311081">
          <w:marLeft w:val="360"/>
          <w:marRight w:val="0"/>
          <w:marTop w:val="0"/>
          <w:marBottom w:val="0"/>
          <w:divBdr>
            <w:top w:val="none" w:sz="0" w:space="0" w:color="auto"/>
            <w:left w:val="none" w:sz="0" w:space="0" w:color="auto"/>
            <w:bottom w:val="none" w:sz="0" w:space="0" w:color="auto"/>
            <w:right w:val="none" w:sz="0" w:space="0" w:color="auto"/>
          </w:divBdr>
          <w:divsChild>
            <w:div w:id="168297262">
              <w:marLeft w:val="360"/>
              <w:marRight w:val="0"/>
              <w:marTop w:val="0"/>
              <w:marBottom w:val="0"/>
              <w:divBdr>
                <w:top w:val="none" w:sz="0" w:space="0" w:color="auto"/>
                <w:left w:val="none" w:sz="0" w:space="0" w:color="auto"/>
                <w:bottom w:val="none" w:sz="0" w:space="0" w:color="auto"/>
                <w:right w:val="none" w:sz="0" w:space="0" w:color="auto"/>
              </w:divBdr>
              <w:divsChild>
                <w:div w:id="792598343">
                  <w:marLeft w:val="360"/>
                  <w:marRight w:val="0"/>
                  <w:marTop w:val="0"/>
                  <w:marBottom w:val="0"/>
                  <w:divBdr>
                    <w:top w:val="none" w:sz="0" w:space="0" w:color="auto"/>
                    <w:left w:val="none" w:sz="0" w:space="0" w:color="auto"/>
                    <w:bottom w:val="none" w:sz="0" w:space="0" w:color="auto"/>
                    <w:right w:val="none" w:sz="0" w:space="0" w:color="auto"/>
                  </w:divBdr>
                </w:div>
              </w:divsChild>
            </w:div>
            <w:div w:id="328869299">
              <w:marLeft w:val="360"/>
              <w:marRight w:val="0"/>
              <w:marTop w:val="0"/>
              <w:marBottom w:val="0"/>
              <w:divBdr>
                <w:top w:val="none" w:sz="0" w:space="0" w:color="auto"/>
                <w:left w:val="none" w:sz="0" w:space="0" w:color="auto"/>
                <w:bottom w:val="none" w:sz="0" w:space="0" w:color="auto"/>
                <w:right w:val="none" w:sz="0" w:space="0" w:color="auto"/>
              </w:divBdr>
            </w:div>
            <w:div w:id="1154640673">
              <w:marLeft w:val="360"/>
              <w:marRight w:val="0"/>
              <w:marTop w:val="0"/>
              <w:marBottom w:val="0"/>
              <w:divBdr>
                <w:top w:val="none" w:sz="0" w:space="0" w:color="auto"/>
                <w:left w:val="none" w:sz="0" w:space="0" w:color="auto"/>
                <w:bottom w:val="none" w:sz="0" w:space="0" w:color="auto"/>
                <w:right w:val="none" w:sz="0" w:space="0" w:color="auto"/>
              </w:divBdr>
              <w:divsChild>
                <w:div w:id="190149595">
                  <w:marLeft w:val="360"/>
                  <w:marRight w:val="0"/>
                  <w:marTop w:val="0"/>
                  <w:marBottom w:val="0"/>
                  <w:divBdr>
                    <w:top w:val="none" w:sz="0" w:space="0" w:color="auto"/>
                    <w:left w:val="none" w:sz="0" w:space="0" w:color="auto"/>
                    <w:bottom w:val="none" w:sz="0" w:space="0" w:color="auto"/>
                    <w:right w:val="none" w:sz="0" w:space="0" w:color="auto"/>
                  </w:divBdr>
                </w:div>
              </w:divsChild>
            </w:div>
            <w:div w:id="1311401044">
              <w:marLeft w:val="360"/>
              <w:marRight w:val="0"/>
              <w:marTop w:val="0"/>
              <w:marBottom w:val="0"/>
              <w:divBdr>
                <w:top w:val="none" w:sz="0" w:space="0" w:color="auto"/>
                <w:left w:val="none" w:sz="0" w:space="0" w:color="auto"/>
                <w:bottom w:val="none" w:sz="0" w:space="0" w:color="auto"/>
                <w:right w:val="none" w:sz="0" w:space="0" w:color="auto"/>
              </w:divBdr>
            </w:div>
            <w:div w:id="1526164993">
              <w:marLeft w:val="360"/>
              <w:marRight w:val="0"/>
              <w:marTop w:val="0"/>
              <w:marBottom w:val="0"/>
              <w:divBdr>
                <w:top w:val="none" w:sz="0" w:space="0" w:color="auto"/>
                <w:left w:val="none" w:sz="0" w:space="0" w:color="auto"/>
                <w:bottom w:val="none" w:sz="0" w:space="0" w:color="auto"/>
                <w:right w:val="none" w:sz="0" w:space="0" w:color="auto"/>
              </w:divBdr>
            </w:div>
            <w:div w:id="1775400653">
              <w:marLeft w:val="360"/>
              <w:marRight w:val="0"/>
              <w:marTop w:val="0"/>
              <w:marBottom w:val="0"/>
              <w:divBdr>
                <w:top w:val="none" w:sz="0" w:space="0" w:color="auto"/>
                <w:left w:val="none" w:sz="0" w:space="0" w:color="auto"/>
                <w:bottom w:val="none" w:sz="0" w:space="0" w:color="auto"/>
                <w:right w:val="none" w:sz="0" w:space="0" w:color="auto"/>
              </w:divBdr>
            </w:div>
          </w:divsChild>
        </w:div>
        <w:div w:id="2007245335">
          <w:marLeft w:val="360"/>
          <w:marRight w:val="0"/>
          <w:marTop w:val="0"/>
          <w:marBottom w:val="0"/>
          <w:divBdr>
            <w:top w:val="none" w:sz="0" w:space="0" w:color="auto"/>
            <w:left w:val="none" w:sz="0" w:space="0" w:color="auto"/>
            <w:bottom w:val="none" w:sz="0" w:space="0" w:color="auto"/>
            <w:right w:val="none" w:sz="0" w:space="0" w:color="auto"/>
          </w:divBdr>
        </w:div>
      </w:divsChild>
    </w:div>
    <w:div w:id="114174739">
      <w:bodyDiv w:val="1"/>
      <w:marLeft w:val="0"/>
      <w:marRight w:val="0"/>
      <w:marTop w:val="0"/>
      <w:marBottom w:val="0"/>
      <w:divBdr>
        <w:top w:val="none" w:sz="0" w:space="0" w:color="auto"/>
        <w:left w:val="none" w:sz="0" w:space="0" w:color="auto"/>
        <w:bottom w:val="none" w:sz="0" w:space="0" w:color="auto"/>
        <w:right w:val="none" w:sz="0" w:space="0" w:color="auto"/>
      </w:divBdr>
      <w:divsChild>
        <w:div w:id="829442023">
          <w:marLeft w:val="0"/>
          <w:marRight w:val="0"/>
          <w:marTop w:val="0"/>
          <w:marBottom w:val="0"/>
          <w:divBdr>
            <w:top w:val="none" w:sz="0" w:space="0" w:color="auto"/>
            <w:left w:val="none" w:sz="0" w:space="0" w:color="auto"/>
            <w:bottom w:val="none" w:sz="0" w:space="0" w:color="auto"/>
            <w:right w:val="none" w:sz="0" w:space="0" w:color="auto"/>
          </w:divBdr>
          <w:divsChild>
            <w:div w:id="149313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8489">
      <w:bodyDiv w:val="1"/>
      <w:marLeft w:val="0"/>
      <w:marRight w:val="0"/>
      <w:marTop w:val="0"/>
      <w:marBottom w:val="0"/>
      <w:divBdr>
        <w:top w:val="none" w:sz="0" w:space="0" w:color="auto"/>
        <w:left w:val="none" w:sz="0" w:space="0" w:color="auto"/>
        <w:bottom w:val="none" w:sz="0" w:space="0" w:color="auto"/>
        <w:right w:val="none" w:sz="0" w:space="0" w:color="auto"/>
      </w:divBdr>
    </w:div>
    <w:div w:id="152794364">
      <w:bodyDiv w:val="1"/>
      <w:marLeft w:val="0"/>
      <w:marRight w:val="0"/>
      <w:marTop w:val="0"/>
      <w:marBottom w:val="0"/>
      <w:divBdr>
        <w:top w:val="none" w:sz="0" w:space="0" w:color="auto"/>
        <w:left w:val="none" w:sz="0" w:space="0" w:color="auto"/>
        <w:bottom w:val="none" w:sz="0" w:space="0" w:color="auto"/>
        <w:right w:val="none" w:sz="0" w:space="0" w:color="auto"/>
      </w:divBdr>
    </w:div>
    <w:div w:id="155389107">
      <w:bodyDiv w:val="1"/>
      <w:marLeft w:val="0"/>
      <w:marRight w:val="0"/>
      <w:marTop w:val="0"/>
      <w:marBottom w:val="0"/>
      <w:divBdr>
        <w:top w:val="none" w:sz="0" w:space="0" w:color="auto"/>
        <w:left w:val="none" w:sz="0" w:space="0" w:color="auto"/>
        <w:bottom w:val="none" w:sz="0" w:space="0" w:color="auto"/>
        <w:right w:val="none" w:sz="0" w:space="0" w:color="auto"/>
      </w:divBdr>
    </w:div>
    <w:div w:id="157968951">
      <w:bodyDiv w:val="1"/>
      <w:marLeft w:val="0"/>
      <w:marRight w:val="0"/>
      <w:marTop w:val="0"/>
      <w:marBottom w:val="0"/>
      <w:divBdr>
        <w:top w:val="none" w:sz="0" w:space="0" w:color="auto"/>
        <w:left w:val="none" w:sz="0" w:space="0" w:color="auto"/>
        <w:bottom w:val="none" w:sz="0" w:space="0" w:color="auto"/>
        <w:right w:val="none" w:sz="0" w:space="0" w:color="auto"/>
      </w:divBdr>
    </w:div>
    <w:div w:id="167643882">
      <w:bodyDiv w:val="1"/>
      <w:marLeft w:val="0"/>
      <w:marRight w:val="0"/>
      <w:marTop w:val="0"/>
      <w:marBottom w:val="0"/>
      <w:divBdr>
        <w:top w:val="none" w:sz="0" w:space="0" w:color="auto"/>
        <w:left w:val="none" w:sz="0" w:space="0" w:color="auto"/>
        <w:bottom w:val="none" w:sz="0" w:space="0" w:color="auto"/>
        <w:right w:val="none" w:sz="0" w:space="0" w:color="auto"/>
      </w:divBdr>
    </w:div>
    <w:div w:id="225801176">
      <w:bodyDiv w:val="1"/>
      <w:marLeft w:val="0"/>
      <w:marRight w:val="0"/>
      <w:marTop w:val="0"/>
      <w:marBottom w:val="0"/>
      <w:divBdr>
        <w:top w:val="none" w:sz="0" w:space="0" w:color="auto"/>
        <w:left w:val="none" w:sz="0" w:space="0" w:color="auto"/>
        <w:bottom w:val="none" w:sz="0" w:space="0" w:color="auto"/>
        <w:right w:val="none" w:sz="0" w:space="0" w:color="auto"/>
      </w:divBdr>
    </w:div>
    <w:div w:id="256600383">
      <w:bodyDiv w:val="1"/>
      <w:marLeft w:val="0"/>
      <w:marRight w:val="0"/>
      <w:marTop w:val="0"/>
      <w:marBottom w:val="0"/>
      <w:divBdr>
        <w:top w:val="none" w:sz="0" w:space="0" w:color="auto"/>
        <w:left w:val="none" w:sz="0" w:space="0" w:color="auto"/>
        <w:bottom w:val="none" w:sz="0" w:space="0" w:color="auto"/>
        <w:right w:val="none" w:sz="0" w:space="0" w:color="auto"/>
      </w:divBdr>
      <w:divsChild>
        <w:div w:id="1926528756">
          <w:marLeft w:val="0"/>
          <w:marRight w:val="0"/>
          <w:marTop w:val="0"/>
          <w:marBottom w:val="0"/>
          <w:divBdr>
            <w:top w:val="none" w:sz="0" w:space="0" w:color="auto"/>
            <w:left w:val="none" w:sz="0" w:space="0" w:color="auto"/>
            <w:bottom w:val="none" w:sz="0" w:space="0" w:color="auto"/>
            <w:right w:val="none" w:sz="0" w:space="0" w:color="auto"/>
          </w:divBdr>
          <w:divsChild>
            <w:div w:id="95547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753204">
      <w:bodyDiv w:val="1"/>
      <w:marLeft w:val="0"/>
      <w:marRight w:val="0"/>
      <w:marTop w:val="0"/>
      <w:marBottom w:val="0"/>
      <w:divBdr>
        <w:top w:val="none" w:sz="0" w:space="0" w:color="auto"/>
        <w:left w:val="none" w:sz="0" w:space="0" w:color="auto"/>
        <w:bottom w:val="none" w:sz="0" w:space="0" w:color="auto"/>
        <w:right w:val="none" w:sz="0" w:space="0" w:color="auto"/>
      </w:divBdr>
      <w:divsChild>
        <w:div w:id="509176032">
          <w:marLeft w:val="0"/>
          <w:marRight w:val="0"/>
          <w:marTop w:val="0"/>
          <w:marBottom w:val="0"/>
          <w:divBdr>
            <w:top w:val="none" w:sz="0" w:space="0" w:color="auto"/>
            <w:left w:val="none" w:sz="0" w:space="0" w:color="auto"/>
            <w:bottom w:val="none" w:sz="0" w:space="0" w:color="auto"/>
            <w:right w:val="none" w:sz="0" w:space="0" w:color="auto"/>
          </w:divBdr>
          <w:divsChild>
            <w:div w:id="49480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728505">
      <w:bodyDiv w:val="1"/>
      <w:marLeft w:val="0"/>
      <w:marRight w:val="0"/>
      <w:marTop w:val="0"/>
      <w:marBottom w:val="0"/>
      <w:divBdr>
        <w:top w:val="none" w:sz="0" w:space="0" w:color="auto"/>
        <w:left w:val="none" w:sz="0" w:space="0" w:color="auto"/>
        <w:bottom w:val="none" w:sz="0" w:space="0" w:color="auto"/>
        <w:right w:val="none" w:sz="0" w:space="0" w:color="auto"/>
      </w:divBdr>
      <w:divsChild>
        <w:div w:id="1675641234">
          <w:marLeft w:val="0"/>
          <w:marRight w:val="0"/>
          <w:marTop w:val="0"/>
          <w:marBottom w:val="0"/>
          <w:divBdr>
            <w:top w:val="none" w:sz="0" w:space="0" w:color="auto"/>
            <w:left w:val="none" w:sz="0" w:space="0" w:color="auto"/>
            <w:bottom w:val="none" w:sz="0" w:space="0" w:color="auto"/>
            <w:right w:val="none" w:sz="0" w:space="0" w:color="auto"/>
          </w:divBdr>
        </w:div>
      </w:divsChild>
    </w:div>
    <w:div w:id="271787618">
      <w:bodyDiv w:val="1"/>
      <w:marLeft w:val="0"/>
      <w:marRight w:val="0"/>
      <w:marTop w:val="0"/>
      <w:marBottom w:val="0"/>
      <w:divBdr>
        <w:top w:val="none" w:sz="0" w:space="0" w:color="auto"/>
        <w:left w:val="none" w:sz="0" w:space="0" w:color="auto"/>
        <w:bottom w:val="none" w:sz="0" w:space="0" w:color="auto"/>
        <w:right w:val="none" w:sz="0" w:space="0" w:color="auto"/>
      </w:divBdr>
      <w:divsChild>
        <w:div w:id="349644330">
          <w:marLeft w:val="0"/>
          <w:marRight w:val="0"/>
          <w:marTop w:val="0"/>
          <w:marBottom w:val="150"/>
          <w:divBdr>
            <w:top w:val="none" w:sz="0" w:space="0" w:color="auto"/>
            <w:left w:val="none" w:sz="0" w:space="0" w:color="auto"/>
            <w:bottom w:val="none" w:sz="0" w:space="0" w:color="auto"/>
            <w:right w:val="none" w:sz="0" w:space="0" w:color="auto"/>
          </w:divBdr>
          <w:divsChild>
            <w:div w:id="1080522894">
              <w:marLeft w:val="360"/>
              <w:marRight w:val="0"/>
              <w:marTop w:val="0"/>
              <w:marBottom w:val="0"/>
              <w:divBdr>
                <w:top w:val="none" w:sz="0" w:space="0" w:color="auto"/>
                <w:left w:val="none" w:sz="0" w:space="0" w:color="auto"/>
                <w:bottom w:val="none" w:sz="0" w:space="0" w:color="auto"/>
                <w:right w:val="none" w:sz="0" w:space="0" w:color="auto"/>
              </w:divBdr>
              <w:divsChild>
                <w:div w:id="175272319">
                  <w:marLeft w:val="360"/>
                  <w:marRight w:val="0"/>
                  <w:marTop w:val="0"/>
                  <w:marBottom w:val="0"/>
                  <w:divBdr>
                    <w:top w:val="none" w:sz="0" w:space="0" w:color="auto"/>
                    <w:left w:val="none" w:sz="0" w:space="0" w:color="auto"/>
                    <w:bottom w:val="none" w:sz="0" w:space="0" w:color="auto"/>
                    <w:right w:val="none" w:sz="0" w:space="0" w:color="auto"/>
                  </w:divBdr>
                  <w:divsChild>
                    <w:div w:id="1750148853">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192865">
      <w:bodyDiv w:val="1"/>
      <w:marLeft w:val="0"/>
      <w:marRight w:val="0"/>
      <w:marTop w:val="0"/>
      <w:marBottom w:val="0"/>
      <w:divBdr>
        <w:top w:val="none" w:sz="0" w:space="0" w:color="auto"/>
        <w:left w:val="none" w:sz="0" w:space="0" w:color="auto"/>
        <w:bottom w:val="none" w:sz="0" w:space="0" w:color="auto"/>
        <w:right w:val="none" w:sz="0" w:space="0" w:color="auto"/>
      </w:divBdr>
      <w:divsChild>
        <w:div w:id="1182628934">
          <w:marLeft w:val="0"/>
          <w:marRight w:val="0"/>
          <w:marTop w:val="0"/>
          <w:marBottom w:val="150"/>
          <w:divBdr>
            <w:top w:val="none" w:sz="0" w:space="0" w:color="auto"/>
            <w:left w:val="none" w:sz="0" w:space="0" w:color="auto"/>
            <w:bottom w:val="none" w:sz="0" w:space="0" w:color="auto"/>
            <w:right w:val="none" w:sz="0" w:space="0" w:color="auto"/>
          </w:divBdr>
          <w:divsChild>
            <w:div w:id="374083073">
              <w:marLeft w:val="360"/>
              <w:marRight w:val="0"/>
              <w:marTop w:val="0"/>
              <w:marBottom w:val="0"/>
              <w:divBdr>
                <w:top w:val="none" w:sz="0" w:space="0" w:color="auto"/>
                <w:left w:val="none" w:sz="0" w:space="0" w:color="auto"/>
                <w:bottom w:val="none" w:sz="0" w:space="0" w:color="auto"/>
                <w:right w:val="none" w:sz="0" w:space="0" w:color="auto"/>
              </w:divBdr>
              <w:divsChild>
                <w:div w:id="1102804744">
                  <w:marLeft w:val="360"/>
                  <w:marRight w:val="0"/>
                  <w:marTop w:val="0"/>
                  <w:marBottom w:val="0"/>
                  <w:divBdr>
                    <w:top w:val="none" w:sz="0" w:space="0" w:color="auto"/>
                    <w:left w:val="none" w:sz="0" w:space="0" w:color="auto"/>
                    <w:bottom w:val="none" w:sz="0" w:space="0" w:color="auto"/>
                    <w:right w:val="none" w:sz="0" w:space="0" w:color="auto"/>
                  </w:divBdr>
                  <w:divsChild>
                    <w:div w:id="48728661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471244">
      <w:bodyDiv w:val="1"/>
      <w:marLeft w:val="0"/>
      <w:marRight w:val="0"/>
      <w:marTop w:val="0"/>
      <w:marBottom w:val="0"/>
      <w:divBdr>
        <w:top w:val="none" w:sz="0" w:space="0" w:color="auto"/>
        <w:left w:val="none" w:sz="0" w:space="0" w:color="auto"/>
        <w:bottom w:val="none" w:sz="0" w:space="0" w:color="auto"/>
        <w:right w:val="none" w:sz="0" w:space="0" w:color="auto"/>
      </w:divBdr>
    </w:div>
    <w:div w:id="287856794">
      <w:bodyDiv w:val="1"/>
      <w:marLeft w:val="0"/>
      <w:marRight w:val="0"/>
      <w:marTop w:val="0"/>
      <w:marBottom w:val="0"/>
      <w:divBdr>
        <w:top w:val="none" w:sz="0" w:space="0" w:color="auto"/>
        <w:left w:val="none" w:sz="0" w:space="0" w:color="auto"/>
        <w:bottom w:val="none" w:sz="0" w:space="0" w:color="auto"/>
        <w:right w:val="none" w:sz="0" w:space="0" w:color="auto"/>
      </w:divBdr>
      <w:divsChild>
        <w:div w:id="332799779">
          <w:marLeft w:val="0"/>
          <w:marRight w:val="0"/>
          <w:marTop w:val="0"/>
          <w:marBottom w:val="0"/>
          <w:divBdr>
            <w:top w:val="none" w:sz="0" w:space="0" w:color="auto"/>
            <w:left w:val="none" w:sz="0" w:space="0" w:color="auto"/>
            <w:bottom w:val="none" w:sz="0" w:space="0" w:color="auto"/>
            <w:right w:val="none" w:sz="0" w:space="0" w:color="auto"/>
          </w:divBdr>
          <w:divsChild>
            <w:div w:id="871647991">
              <w:marLeft w:val="0"/>
              <w:marRight w:val="0"/>
              <w:marTop w:val="0"/>
              <w:marBottom w:val="0"/>
              <w:divBdr>
                <w:top w:val="none" w:sz="0" w:space="0" w:color="auto"/>
                <w:left w:val="none" w:sz="0" w:space="0" w:color="auto"/>
                <w:bottom w:val="none" w:sz="0" w:space="0" w:color="auto"/>
                <w:right w:val="none" w:sz="0" w:space="0" w:color="auto"/>
              </w:divBdr>
              <w:divsChild>
                <w:div w:id="1623657814">
                  <w:marLeft w:val="0"/>
                  <w:marRight w:val="0"/>
                  <w:marTop w:val="0"/>
                  <w:marBottom w:val="0"/>
                  <w:divBdr>
                    <w:top w:val="none" w:sz="0" w:space="0" w:color="auto"/>
                    <w:left w:val="none" w:sz="0" w:space="0" w:color="auto"/>
                    <w:bottom w:val="none" w:sz="0" w:space="0" w:color="auto"/>
                    <w:right w:val="none" w:sz="0" w:space="0" w:color="auto"/>
                  </w:divBdr>
                  <w:divsChild>
                    <w:div w:id="921375981">
                      <w:marLeft w:val="0"/>
                      <w:marRight w:val="0"/>
                      <w:marTop w:val="0"/>
                      <w:marBottom w:val="0"/>
                      <w:divBdr>
                        <w:top w:val="none" w:sz="0" w:space="0" w:color="auto"/>
                        <w:left w:val="none" w:sz="0" w:space="0" w:color="auto"/>
                        <w:bottom w:val="none" w:sz="0" w:space="0" w:color="auto"/>
                        <w:right w:val="none" w:sz="0" w:space="0" w:color="auto"/>
                      </w:divBdr>
                      <w:divsChild>
                        <w:div w:id="10184966">
                          <w:marLeft w:val="0"/>
                          <w:marRight w:val="0"/>
                          <w:marTop w:val="0"/>
                          <w:marBottom w:val="0"/>
                          <w:divBdr>
                            <w:top w:val="none" w:sz="0" w:space="0" w:color="auto"/>
                            <w:left w:val="none" w:sz="0" w:space="0" w:color="auto"/>
                            <w:bottom w:val="none" w:sz="0" w:space="0" w:color="auto"/>
                            <w:right w:val="none" w:sz="0" w:space="0" w:color="auto"/>
                          </w:divBdr>
                          <w:divsChild>
                            <w:div w:id="168875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898510">
      <w:bodyDiv w:val="1"/>
      <w:marLeft w:val="0"/>
      <w:marRight w:val="0"/>
      <w:marTop w:val="0"/>
      <w:marBottom w:val="0"/>
      <w:divBdr>
        <w:top w:val="none" w:sz="0" w:space="0" w:color="auto"/>
        <w:left w:val="none" w:sz="0" w:space="0" w:color="auto"/>
        <w:bottom w:val="none" w:sz="0" w:space="0" w:color="auto"/>
        <w:right w:val="none" w:sz="0" w:space="0" w:color="auto"/>
      </w:divBdr>
    </w:div>
    <w:div w:id="291138741">
      <w:bodyDiv w:val="1"/>
      <w:marLeft w:val="0"/>
      <w:marRight w:val="0"/>
      <w:marTop w:val="0"/>
      <w:marBottom w:val="0"/>
      <w:divBdr>
        <w:top w:val="none" w:sz="0" w:space="0" w:color="auto"/>
        <w:left w:val="none" w:sz="0" w:space="0" w:color="auto"/>
        <w:bottom w:val="none" w:sz="0" w:space="0" w:color="auto"/>
        <w:right w:val="none" w:sz="0" w:space="0" w:color="auto"/>
      </w:divBdr>
    </w:div>
    <w:div w:id="294606405">
      <w:bodyDiv w:val="1"/>
      <w:marLeft w:val="0"/>
      <w:marRight w:val="0"/>
      <w:marTop w:val="0"/>
      <w:marBottom w:val="0"/>
      <w:divBdr>
        <w:top w:val="none" w:sz="0" w:space="0" w:color="auto"/>
        <w:left w:val="none" w:sz="0" w:space="0" w:color="auto"/>
        <w:bottom w:val="none" w:sz="0" w:space="0" w:color="auto"/>
        <w:right w:val="none" w:sz="0" w:space="0" w:color="auto"/>
      </w:divBdr>
    </w:div>
    <w:div w:id="297733874">
      <w:bodyDiv w:val="1"/>
      <w:marLeft w:val="0"/>
      <w:marRight w:val="0"/>
      <w:marTop w:val="0"/>
      <w:marBottom w:val="0"/>
      <w:divBdr>
        <w:top w:val="none" w:sz="0" w:space="0" w:color="auto"/>
        <w:left w:val="none" w:sz="0" w:space="0" w:color="auto"/>
        <w:bottom w:val="none" w:sz="0" w:space="0" w:color="auto"/>
        <w:right w:val="none" w:sz="0" w:space="0" w:color="auto"/>
      </w:divBdr>
    </w:div>
    <w:div w:id="330984999">
      <w:bodyDiv w:val="1"/>
      <w:marLeft w:val="0"/>
      <w:marRight w:val="0"/>
      <w:marTop w:val="0"/>
      <w:marBottom w:val="0"/>
      <w:divBdr>
        <w:top w:val="none" w:sz="0" w:space="0" w:color="auto"/>
        <w:left w:val="none" w:sz="0" w:space="0" w:color="auto"/>
        <w:bottom w:val="none" w:sz="0" w:space="0" w:color="auto"/>
        <w:right w:val="none" w:sz="0" w:space="0" w:color="auto"/>
      </w:divBdr>
    </w:div>
    <w:div w:id="337854684">
      <w:bodyDiv w:val="1"/>
      <w:marLeft w:val="0"/>
      <w:marRight w:val="0"/>
      <w:marTop w:val="0"/>
      <w:marBottom w:val="0"/>
      <w:divBdr>
        <w:top w:val="none" w:sz="0" w:space="0" w:color="auto"/>
        <w:left w:val="none" w:sz="0" w:space="0" w:color="auto"/>
        <w:bottom w:val="none" w:sz="0" w:space="0" w:color="auto"/>
        <w:right w:val="none" w:sz="0" w:space="0" w:color="auto"/>
      </w:divBdr>
    </w:div>
    <w:div w:id="357706635">
      <w:bodyDiv w:val="1"/>
      <w:marLeft w:val="0"/>
      <w:marRight w:val="0"/>
      <w:marTop w:val="0"/>
      <w:marBottom w:val="0"/>
      <w:divBdr>
        <w:top w:val="none" w:sz="0" w:space="0" w:color="auto"/>
        <w:left w:val="none" w:sz="0" w:space="0" w:color="auto"/>
        <w:bottom w:val="none" w:sz="0" w:space="0" w:color="auto"/>
        <w:right w:val="none" w:sz="0" w:space="0" w:color="auto"/>
      </w:divBdr>
    </w:div>
    <w:div w:id="365912017">
      <w:bodyDiv w:val="1"/>
      <w:marLeft w:val="0"/>
      <w:marRight w:val="0"/>
      <w:marTop w:val="0"/>
      <w:marBottom w:val="0"/>
      <w:divBdr>
        <w:top w:val="none" w:sz="0" w:space="0" w:color="auto"/>
        <w:left w:val="none" w:sz="0" w:space="0" w:color="auto"/>
        <w:bottom w:val="none" w:sz="0" w:space="0" w:color="auto"/>
        <w:right w:val="none" w:sz="0" w:space="0" w:color="auto"/>
      </w:divBdr>
      <w:divsChild>
        <w:div w:id="1158157904">
          <w:marLeft w:val="0"/>
          <w:marRight w:val="0"/>
          <w:marTop w:val="0"/>
          <w:marBottom w:val="0"/>
          <w:divBdr>
            <w:top w:val="none" w:sz="0" w:space="0" w:color="auto"/>
            <w:left w:val="none" w:sz="0" w:space="0" w:color="auto"/>
            <w:bottom w:val="none" w:sz="0" w:space="0" w:color="auto"/>
            <w:right w:val="none" w:sz="0" w:space="0" w:color="auto"/>
          </w:divBdr>
          <w:divsChild>
            <w:div w:id="5978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840996">
      <w:bodyDiv w:val="1"/>
      <w:marLeft w:val="0"/>
      <w:marRight w:val="0"/>
      <w:marTop w:val="0"/>
      <w:marBottom w:val="0"/>
      <w:divBdr>
        <w:top w:val="none" w:sz="0" w:space="0" w:color="auto"/>
        <w:left w:val="none" w:sz="0" w:space="0" w:color="auto"/>
        <w:bottom w:val="none" w:sz="0" w:space="0" w:color="auto"/>
        <w:right w:val="none" w:sz="0" w:space="0" w:color="auto"/>
      </w:divBdr>
    </w:div>
    <w:div w:id="368846473">
      <w:bodyDiv w:val="1"/>
      <w:marLeft w:val="0"/>
      <w:marRight w:val="0"/>
      <w:marTop w:val="0"/>
      <w:marBottom w:val="0"/>
      <w:divBdr>
        <w:top w:val="none" w:sz="0" w:space="0" w:color="auto"/>
        <w:left w:val="none" w:sz="0" w:space="0" w:color="auto"/>
        <w:bottom w:val="none" w:sz="0" w:space="0" w:color="auto"/>
        <w:right w:val="none" w:sz="0" w:space="0" w:color="auto"/>
      </w:divBdr>
      <w:divsChild>
        <w:div w:id="1033925897">
          <w:marLeft w:val="0"/>
          <w:marRight w:val="0"/>
          <w:marTop w:val="0"/>
          <w:marBottom w:val="0"/>
          <w:divBdr>
            <w:top w:val="none" w:sz="0" w:space="0" w:color="auto"/>
            <w:left w:val="none" w:sz="0" w:space="0" w:color="auto"/>
            <w:bottom w:val="none" w:sz="0" w:space="0" w:color="auto"/>
            <w:right w:val="none" w:sz="0" w:space="0" w:color="auto"/>
          </w:divBdr>
          <w:divsChild>
            <w:div w:id="147942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505683">
      <w:bodyDiv w:val="1"/>
      <w:marLeft w:val="0"/>
      <w:marRight w:val="0"/>
      <w:marTop w:val="0"/>
      <w:marBottom w:val="0"/>
      <w:divBdr>
        <w:top w:val="none" w:sz="0" w:space="0" w:color="auto"/>
        <w:left w:val="none" w:sz="0" w:space="0" w:color="auto"/>
        <w:bottom w:val="none" w:sz="0" w:space="0" w:color="auto"/>
        <w:right w:val="none" w:sz="0" w:space="0" w:color="auto"/>
      </w:divBdr>
      <w:divsChild>
        <w:div w:id="975179545">
          <w:marLeft w:val="0"/>
          <w:marRight w:val="0"/>
          <w:marTop w:val="0"/>
          <w:marBottom w:val="150"/>
          <w:divBdr>
            <w:top w:val="none" w:sz="0" w:space="0" w:color="auto"/>
            <w:left w:val="none" w:sz="0" w:space="0" w:color="auto"/>
            <w:bottom w:val="none" w:sz="0" w:space="0" w:color="auto"/>
            <w:right w:val="none" w:sz="0" w:space="0" w:color="auto"/>
          </w:divBdr>
          <w:divsChild>
            <w:div w:id="440343495">
              <w:marLeft w:val="360"/>
              <w:marRight w:val="0"/>
              <w:marTop w:val="0"/>
              <w:marBottom w:val="0"/>
              <w:divBdr>
                <w:top w:val="none" w:sz="0" w:space="0" w:color="auto"/>
                <w:left w:val="none" w:sz="0" w:space="0" w:color="auto"/>
                <w:bottom w:val="none" w:sz="0" w:space="0" w:color="auto"/>
                <w:right w:val="none" w:sz="0" w:space="0" w:color="auto"/>
              </w:divBdr>
              <w:divsChild>
                <w:div w:id="319505213">
                  <w:marLeft w:val="360"/>
                  <w:marRight w:val="0"/>
                  <w:marTop w:val="0"/>
                  <w:marBottom w:val="0"/>
                  <w:divBdr>
                    <w:top w:val="none" w:sz="0" w:space="0" w:color="auto"/>
                    <w:left w:val="none" w:sz="0" w:space="0" w:color="auto"/>
                    <w:bottom w:val="none" w:sz="0" w:space="0" w:color="auto"/>
                    <w:right w:val="none" w:sz="0" w:space="0" w:color="auto"/>
                  </w:divBdr>
                  <w:divsChild>
                    <w:div w:id="139809200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748204">
      <w:bodyDiv w:val="1"/>
      <w:marLeft w:val="0"/>
      <w:marRight w:val="0"/>
      <w:marTop w:val="0"/>
      <w:marBottom w:val="0"/>
      <w:divBdr>
        <w:top w:val="none" w:sz="0" w:space="0" w:color="auto"/>
        <w:left w:val="none" w:sz="0" w:space="0" w:color="auto"/>
        <w:bottom w:val="none" w:sz="0" w:space="0" w:color="auto"/>
        <w:right w:val="none" w:sz="0" w:space="0" w:color="auto"/>
      </w:divBdr>
      <w:divsChild>
        <w:div w:id="436365577">
          <w:marLeft w:val="0"/>
          <w:marRight w:val="0"/>
          <w:marTop w:val="0"/>
          <w:marBottom w:val="0"/>
          <w:divBdr>
            <w:top w:val="none" w:sz="0" w:space="0" w:color="auto"/>
            <w:left w:val="none" w:sz="0" w:space="0" w:color="auto"/>
            <w:bottom w:val="none" w:sz="0" w:space="0" w:color="auto"/>
            <w:right w:val="none" w:sz="0" w:space="0" w:color="auto"/>
          </w:divBdr>
          <w:divsChild>
            <w:div w:id="18411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987793">
      <w:bodyDiv w:val="1"/>
      <w:marLeft w:val="0"/>
      <w:marRight w:val="0"/>
      <w:marTop w:val="0"/>
      <w:marBottom w:val="0"/>
      <w:divBdr>
        <w:top w:val="none" w:sz="0" w:space="0" w:color="auto"/>
        <w:left w:val="none" w:sz="0" w:space="0" w:color="auto"/>
        <w:bottom w:val="none" w:sz="0" w:space="0" w:color="auto"/>
        <w:right w:val="none" w:sz="0" w:space="0" w:color="auto"/>
      </w:divBdr>
    </w:div>
    <w:div w:id="391078823">
      <w:bodyDiv w:val="1"/>
      <w:marLeft w:val="0"/>
      <w:marRight w:val="0"/>
      <w:marTop w:val="0"/>
      <w:marBottom w:val="0"/>
      <w:divBdr>
        <w:top w:val="none" w:sz="0" w:space="0" w:color="auto"/>
        <w:left w:val="none" w:sz="0" w:space="0" w:color="auto"/>
        <w:bottom w:val="none" w:sz="0" w:space="0" w:color="auto"/>
        <w:right w:val="none" w:sz="0" w:space="0" w:color="auto"/>
      </w:divBdr>
      <w:divsChild>
        <w:div w:id="1769886182">
          <w:marLeft w:val="0"/>
          <w:marRight w:val="0"/>
          <w:marTop w:val="0"/>
          <w:marBottom w:val="0"/>
          <w:divBdr>
            <w:top w:val="none" w:sz="0" w:space="0" w:color="auto"/>
            <w:left w:val="none" w:sz="0" w:space="0" w:color="auto"/>
            <w:bottom w:val="none" w:sz="0" w:space="0" w:color="auto"/>
            <w:right w:val="none" w:sz="0" w:space="0" w:color="auto"/>
          </w:divBdr>
        </w:div>
      </w:divsChild>
    </w:div>
    <w:div w:id="392854588">
      <w:bodyDiv w:val="1"/>
      <w:marLeft w:val="0"/>
      <w:marRight w:val="0"/>
      <w:marTop w:val="0"/>
      <w:marBottom w:val="0"/>
      <w:divBdr>
        <w:top w:val="none" w:sz="0" w:space="0" w:color="auto"/>
        <w:left w:val="none" w:sz="0" w:space="0" w:color="auto"/>
        <w:bottom w:val="none" w:sz="0" w:space="0" w:color="auto"/>
        <w:right w:val="none" w:sz="0" w:space="0" w:color="auto"/>
      </w:divBdr>
    </w:div>
    <w:div w:id="394401699">
      <w:bodyDiv w:val="1"/>
      <w:marLeft w:val="0"/>
      <w:marRight w:val="0"/>
      <w:marTop w:val="0"/>
      <w:marBottom w:val="0"/>
      <w:divBdr>
        <w:top w:val="none" w:sz="0" w:space="0" w:color="auto"/>
        <w:left w:val="none" w:sz="0" w:space="0" w:color="auto"/>
        <w:bottom w:val="none" w:sz="0" w:space="0" w:color="auto"/>
        <w:right w:val="none" w:sz="0" w:space="0" w:color="auto"/>
      </w:divBdr>
    </w:div>
    <w:div w:id="395783450">
      <w:bodyDiv w:val="1"/>
      <w:marLeft w:val="0"/>
      <w:marRight w:val="0"/>
      <w:marTop w:val="0"/>
      <w:marBottom w:val="0"/>
      <w:divBdr>
        <w:top w:val="none" w:sz="0" w:space="0" w:color="auto"/>
        <w:left w:val="none" w:sz="0" w:space="0" w:color="auto"/>
        <w:bottom w:val="none" w:sz="0" w:space="0" w:color="auto"/>
        <w:right w:val="none" w:sz="0" w:space="0" w:color="auto"/>
      </w:divBdr>
      <w:divsChild>
        <w:div w:id="814833364">
          <w:marLeft w:val="0"/>
          <w:marRight w:val="0"/>
          <w:marTop w:val="0"/>
          <w:marBottom w:val="0"/>
          <w:divBdr>
            <w:top w:val="none" w:sz="0" w:space="0" w:color="auto"/>
            <w:left w:val="none" w:sz="0" w:space="0" w:color="auto"/>
            <w:bottom w:val="none" w:sz="0" w:space="0" w:color="auto"/>
            <w:right w:val="none" w:sz="0" w:space="0" w:color="auto"/>
          </w:divBdr>
        </w:div>
      </w:divsChild>
    </w:div>
    <w:div w:id="431826753">
      <w:bodyDiv w:val="1"/>
      <w:marLeft w:val="0"/>
      <w:marRight w:val="0"/>
      <w:marTop w:val="0"/>
      <w:marBottom w:val="0"/>
      <w:divBdr>
        <w:top w:val="none" w:sz="0" w:space="0" w:color="auto"/>
        <w:left w:val="none" w:sz="0" w:space="0" w:color="auto"/>
        <w:bottom w:val="none" w:sz="0" w:space="0" w:color="auto"/>
        <w:right w:val="none" w:sz="0" w:space="0" w:color="auto"/>
      </w:divBdr>
      <w:divsChild>
        <w:div w:id="496304706">
          <w:marLeft w:val="0"/>
          <w:marRight w:val="0"/>
          <w:marTop w:val="0"/>
          <w:marBottom w:val="0"/>
          <w:divBdr>
            <w:top w:val="none" w:sz="0" w:space="0" w:color="auto"/>
            <w:left w:val="none" w:sz="0" w:space="0" w:color="auto"/>
            <w:bottom w:val="none" w:sz="0" w:space="0" w:color="auto"/>
            <w:right w:val="none" w:sz="0" w:space="0" w:color="auto"/>
          </w:divBdr>
          <w:divsChild>
            <w:div w:id="58596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925061">
      <w:bodyDiv w:val="1"/>
      <w:marLeft w:val="0"/>
      <w:marRight w:val="0"/>
      <w:marTop w:val="0"/>
      <w:marBottom w:val="0"/>
      <w:divBdr>
        <w:top w:val="none" w:sz="0" w:space="0" w:color="auto"/>
        <w:left w:val="none" w:sz="0" w:space="0" w:color="auto"/>
        <w:bottom w:val="none" w:sz="0" w:space="0" w:color="auto"/>
        <w:right w:val="none" w:sz="0" w:space="0" w:color="auto"/>
      </w:divBdr>
    </w:div>
    <w:div w:id="446892515">
      <w:bodyDiv w:val="1"/>
      <w:marLeft w:val="0"/>
      <w:marRight w:val="0"/>
      <w:marTop w:val="0"/>
      <w:marBottom w:val="0"/>
      <w:divBdr>
        <w:top w:val="none" w:sz="0" w:space="0" w:color="auto"/>
        <w:left w:val="none" w:sz="0" w:space="0" w:color="auto"/>
        <w:bottom w:val="none" w:sz="0" w:space="0" w:color="auto"/>
        <w:right w:val="none" w:sz="0" w:space="0" w:color="auto"/>
      </w:divBdr>
    </w:div>
    <w:div w:id="465322920">
      <w:bodyDiv w:val="1"/>
      <w:marLeft w:val="0"/>
      <w:marRight w:val="0"/>
      <w:marTop w:val="0"/>
      <w:marBottom w:val="0"/>
      <w:divBdr>
        <w:top w:val="none" w:sz="0" w:space="0" w:color="auto"/>
        <w:left w:val="none" w:sz="0" w:space="0" w:color="auto"/>
        <w:bottom w:val="none" w:sz="0" w:space="0" w:color="auto"/>
        <w:right w:val="none" w:sz="0" w:space="0" w:color="auto"/>
      </w:divBdr>
      <w:divsChild>
        <w:div w:id="1093818758">
          <w:marLeft w:val="0"/>
          <w:marRight w:val="0"/>
          <w:marTop w:val="0"/>
          <w:marBottom w:val="0"/>
          <w:divBdr>
            <w:top w:val="none" w:sz="0" w:space="0" w:color="auto"/>
            <w:left w:val="none" w:sz="0" w:space="0" w:color="auto"/>
            <w:bottom w:val="none" w:sz="0" w:space="0" w:color="auto"/>
            <w:right w:val="none" w:sz="0" w:space="0" w:color="auto"/>
          </w:divBdr>
        </w:div>
      </w:divsChild>
    </w:div>
    <w:div w:id="475727996">
      <w:bodyDiv w:val="1"/>
      <w:marLeft w:val="0"/>
      <w:marRight w:val="0"/>
      <w:marTop w:val="0"/>
      <w:marBottom w:val="0"/>
      <w:divBdr>
        <w:top w:val="none" w:sz="0" w:space="0" w:color="auto"/>
        <w:left w:val="none" w:sz="0" w:space="0" w:color="auto"/>
        <w:bottom w:val="none" w:sz="0" w:space="0" w:color="auto"/>
        <w:right w:val="none" w:sz="0" w:space="0" w:color="auto"/>
      </w:divBdr>
      <w:divsChild>
        <w:div w:id="910195604">
          <w:marLeft w:val="0"/>
          <w:marRight w:val="0"/>
          <w:marTop w:val="0"/>
          <w:marBottom w:val="0"/>
          <w:divBdr>
            <w:top w:val="none" w:sz="0" w:space="0" w:color="auto"/>
            <w:left w:val="none" w:sz="0" w:space="0" w:color="auto"/>
            <w:bottom w:val="none" w:sz="0" w:space="0" w:color="auto"/>
            <w:right w:val="none" w:sz="0" w:space="0" w:color="auto"/>
          </w:divBdr>
          <w:divsChild>
            <w:div w:id="213359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649809">
      <w:bodyDiv w:val="1"/>
      <w:marLeft w:val="0"/>
      <w:marRight w:val="0"/>
      <w:marTop w:val="0"/>
      <w:marBottom w:val="0"/>
      <w:divBdr>
        <w:top w:val="none" w:sz="0" w:space="0" w:color="auto"/>
        <w:left w:val="none" w:sz="0" w:space="0" w:color="auto"/>
        <w:bottom w:val="none" w:sz="0" w:space="0" w:color="auto"/>
        <w:right w:val="none" w:sz="0" w:space="0" w:color="auto"/>
      </w:divBdr>
    </w:div>
    <w:div w:id="496775538">
      <w:bodyDiv w:val="1"/>
      <w:marLeft w:val="0"/>
      <w:marRight w:val="0"/>
      <w:marTop w:val="0"/>
      <w:marBottom w:val="0"/>
      <w:divBdr>
        <w:top w:val="none" w:sz="0" w:space="0" w:color="auto"/>
        <w:left w:val="none" w:sz="0" w:space="0" w:color="auto"/>
        <w:bottom w:val="none" w:sz="0" w:space="0" w:color="auto"/>
        <w:right w:val="none" w:sz="0" w:space="0" w:color="auto"/>
      </w:divBdr>
      <w:divsChild>
        <w:div w:id="969169223">
          <w:marLeft w:val="0"/>
          <w:marRight w:val="0"/>
          <w:marTop w:val="0"/>
          <w:marBottom w:val="0"/>
          <w:divBdr>
            <w:top w:val="none" w:sz="0" w:space="0" w:color="auto"/>
            <w:left w:val="none" w:sz="0" w:space="0" w:color="auto"/>
            <w:bottom w:val="none" w:sz="0" w:space="0" w:color="auto"/>
            <w:right w:val="none" w:sz="0" w:space="0" w:color="auto"/>
          </w:divBdr>
          <w:divsChild>
            <w:div w:id="71828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03007">
      <w:bodyDiv w:val="1"/>
      <w:marLeft w:val="0"/>
      <w:marRight w:val="0"/>
      <w:marTop w:val="0"/>
      <w:marBottom w:val="0"/>
      <w:divBdr>
        <w:top w:val="none" w:sz="0" w:space="0" w:color="auto"/>
        <w:left w:val="none" w:sz="0" w:space="0" w:color="auto"/>
        <w:bottom w:val="none" w:sz="0" w:space="0" w:color="auto"/>
        <w:right w:val="none" w:sz="0" w:space="0" w:color="auto"/>
      </w:divBdr>
      <w:divsChild>
        <w:div w:id="1476951450">
          <w:marLeft w:val="0"/>
          <w:marRight w:val="0"/>
          <w:marTop w:val="0"/>
          <w:marBottom w:val="0"/>
          <w:divBdr>
            <w:top w:val="none" w:sz="0" w:space="0" w:color="auto"/>
            <w:left w:val="none" w:sz="0" w:space="0" w:color="auto"/>
            <w:bottom w:val="none" w:sz="0" w:space="0" w:color="auto"/>
            <w:right w:val="none" w:sz="0" w:space="0" w:color="auto"/>
          </w:divBdr>
        </w:div>
      </w:divsChild>
    </w:div>
    <w:div w:id="518129107">
      <w:bodyDiv w:val="1"/>
      <w:marLeft w:val="0"/>
      <w:marRight w:val="0"/>
      <w:marTop w:val="0"/>
      <w:marBottom w:val="0"/>
      <w:divBdr>
        <w:top w:val="none" w:sz="0" w:space="0" w:color="auto"/>
        <w:left w:val="none" w:sz="0" w:space="0" w:color="auto"/>
        <w:bottom w:val="none" w:sz="0" w:space="0" w:color="auto"/>
        <w:right w:val="none" w:sz="0" w:space="0" w:color="auto"/>
      </w:divBdr>
    </w:div>
    <w:div w:id="541984306">
      <w:bodyDiv w:val="1"/>
      <w:marLeft w:val="0"/>
      <w:marRight w:val="0"/>
      <w:marTop w:val="0"/>
      <w:marBottom w:val="0"/>
      <w:divBdr>
        <w:top w:val="none" w:sz="0" w:space="0" w:color="auto"/>
        <w:left w:val="none" w:sz="0" w:space="0" w:color="auto"/>
        <w:bottom w:val="none" w:sz="0" w:space="0" w:color="auto"/>
        <w:right w:val="none" w:sz="0" w:space="0" w:color="auto"/>
      </w:divBdr>
    </w:div>
    <w:div w:id="552158370">
      <w:bodyDiv w:val="1"/>
      <w:marLeft w:val="0"/>
      <w:marRight w:val="0"/>
      <w:marTop w:val="0"/>
      <w:marBottom w:val="0"/>
      <w:divBdr>
        <w:top w:val="none" w:sz="0" w:space="0" w:color="auto"/>
        <w:left w:val="none" w:sz="0" w:space="0" w:color="auto"/>
        <w:bottom w:val="none" w:sz="0" w:space="0" w:color="auto"/>
        <w:right w:val="none" w:sz="0" w:space="0" w:color="auto"/>
      </w:divBdr>
    </w:div>
    <w:div w:id="558784425">
      <w:bodyDiv w:val="1"/>
      <w:marLeft w:val="0"/>
      <w:marRight w:val="0"/>
      <w:marTop w:val="0"/>
      <w:marBottom w:val="0"/>
      <w:divBdr>
        <w:top w:val="none" w:sz="0" w:space="0" w:color="auto"/>
        <w:left w:val="none" w:sz="0" w:space="0" w:color="auto"/>
        <w:bottom w:val="none" w:sz="0" w:space="0" w:color="auto"/>
        <w:right w:val="none" w:sz="0" w:space="0" w:color="auto"/>
      </w:divBdr>
    </w:div>
    <w:div w:id="596906434">
      <w:bodyDiv w:val="1"/>
      <w:marLeft w:val="0"/>
      <w:marRight w:val="0"/>
      <w:marTop w:val="0"/>
      <w:marBottom w:val="0"/>
      <w:divBdr>
        <w:top w:val="none" w:sz="0" w:space="0" w:color="auto"/>
        <w:left w:val="none" w:sz="0" w:space="0" w:color="auto"/>
        <w:bottom w:val="none" w:sz="0" w:space="0" w:color="auto"/>
        <w:right w:val="none" w:sz="0" w:space="0" w:color="auto"/>
      </w:divBdr>
      <w:divsChild>
        <w:div w:id="2038919060">
          <w:marLeft w:val="0"/>
          <w:marRight w:val="0"/>
          <w:marTop w:val="0"/>
          <w:marBottom w:val="0"/>
          <w:divBdr>
            <w:top w:val="none" w:sz="0" w:space="0" w:color="auto"/>
            <w:left w:val="none" w:sz="0" w:space="0" w:color="auto"/>
            <w:bottom w:val="none" w:sz="0" w:space="0" w:color="auto"/>
            <w:right w:val="none" w:sz="0" w:space="0" w:color="auto"/>
          </w:divBdr>
          <w:divsChild>
            <w:div w:id="58113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76697">
      <w:bodyDiv w:val="1"/>
      <w:marLeft w:val="0"/>
      <w:marRight w:val="0"/>
      <w:marTop w:val="0"/>
      <w:marBottom w:val="0"/>
      <w:divBdr>
        <w:top w:val="none" w:sz="0" w:space="0" w:color="auto"/>
        <w:left w:val="none" w:sz="0" w:space="0" w:color="auto"/>
        <w:bottom w:val="none" w:sz="0" w:space="0" w:color="auto"/>
        <w:right w:val="none" w:sz="0" w:space="0" w:color="auto"/>
      </w:divBdr>
      <w:divsChild>
        <w:div w:id="1176768013">
          <w:marLeft w:val="0"/>
          <w:marRight w:val="0"/>
          <w:marTop w:val="0"/>
          <w:marBottom w:val="0"/>
          <w:divBdr>
            <w:top w:val="none" w:sz="0" w:space="0" w:color="auto"/>
            <w:left w:val="none" w:sz="0" w:space="0" w:color="auto"/>
            <w:bottom w:val="none" w:sz="0" w:space="0" w:color="auto"/>
            <w:right w:val="none" w:sz="0" w:space="0" w:color="auto"/>
          </w:divBdr>
          <w:divsChild>
            <w:div w:id="10287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902062">
      <w:bodyDiv w:val="1"/>
      <w:marLeft w:val="0"/>
      <w:marRight w:val="0"/>
      <w:marTop w:val="0"/>
      <w:marBottom w:val="0"/>
      <w:divBdr>
        <w:top w:val="none" w:sz="0" w:space="0" w:color="auto"/>
        <w:left w:val="none" w:sz="0" w:space="0" w:color="auto"/>
        <w:bottom w:val="none" w:sz="0" w:space="0" w:color="auto"/>
        <w:right w:val="none" w:sz="0" w:space="0" w:color="auto"/>
      </w:divBdr>
      <w:divsChild>
        <w:div w:id="635796916">
          <w:marLeft w:val="0"/>
          <w:marRight w:val="0"/>
          <w:marTop w:val="0"/>
          <w:marBottom w:val="150"/>
          <w:divBdr>
            <w:top w:val="none" w:sz="0" w:space="0" w:color="auto"/>
            <w:left w:val="none" w:sz="0" w:space="0" w:color="auto"/>
            <w:bottom w:val="none" w:sz="0" w:space="0" w:color="auto"/>
            <w:right w:val="none" w:sz="0" w:space="0" w:color="auto"/>
          </w:divBdr>
          <w:divsChild>
            <w:div w:id="621576075">
              <w:marLeft w:val="360"/>
              <w:marRight w:val="0"/>
              <w:marTop w:val="0"/>
              <w:marBottom w:val="0"/>
              <w:divBdr>
                <w:top w:val="none" w:sz="0" w:space="0" w:color="auto"/>
                <w:left w:val="none" w:sz="0" w:space="0" w:color="auto"/>
                <w:bottom w:val="none" w:sz="0" w:space="0" w:color="auto"/>
                <w:right w:val="none" w:sz="0" w:space="0" w:color="auto"/>
              </w:divBdr>
              <w:divsChild>
                <w:div w:id="1263878817">
                  <w:marLeft w:val="360"/>
                  <w:marRight w:val="0"/>
                  <w:marTop w:val="0"/>
                  <w:marBottom w:val="0"/>
                  <w:divBdr>
                    <w:top w:val="none" w:sz="0" w:space="0" w:color="auto"/>
                    <w:left w:val="none" w:sz="0" w:space="0" w:color="auto"/>
                    <w:bottom w:val="none" w:sz="0" w:space="0" w:color="auto"/>
                    <w:right w:val="none" w:sz="0" w:space="0" w:color="auto"/>
                  </w:divBdr>
                </w:div>
                <w:div w:id="201217966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134886">
      <w:bodyDiv w:val="1"/>
      <w:marLeft w:val="0"/>
      <w:marRight w:val="0"/>
      <w:marTop w:val="0"/>
      <w:marBottom w:val="0"/>
      <w:divBdr>
        <w:top w:val="none" w:sz="0" w:space="0" w:color="auto"/>
        <w:left w:val="none" w:sz="0" w:space="0" w:color="auto"/>
        <w:bottom w:val="none" w:sz="0" w:space="0" w:color="auto"/>
        <w:right w:val="none" w:sz="0" w:space="0" w:color="auto"/>
      </w:divBdr>
      <w:divsChild>
        <w:div w:id="799759918">
          <w:marLeft w:val="0"/>
          <w:marRight w:val="0"/>
          <w:marTop w:val="0"/>
          <w:marBottom w:val="0"/>
          <w:divBdr>
            <w:top w:val="none" w:sz="0" w:space="0" w:color="auto"/>
            <w:left w:val="none" w:sz="0" w:space="0" w:color="auto"/>
            <w:bottom w:val="none" w:sz="0" w:space="0" w:color="auto"/>
            <w:right w:val="none" w:sz="0" w:space="0" w:color="auto"/>
          </w:divBdr>
          <w:divsChild>
            <w:div w:id="1806506561">
              <w:marLeft w:val="0"/>
              <w:marRight w:val="0"/>
              <w:marTop w:val="0"/>
              <w:marBottom w:val="0"/>
              <w:divBdr>
                <w:top w:val="none" w:sz="0" w:space="0" w:color="auto"/>
                <w:left w:val="none" w:sz="0" w:space="0" w:color="auto"/>
                <w:bottom w:val="none" w:sz="0" w:space="0" w:color="auto"/>
                <w:right w:val="none" w:sz="0" w:space="0" w:color="auto"/>
              </w:divBdr>
              <w:divsChild>
                <w:div w:id="964699111">
                  <w:marLeft w:val="0"/>
                  <w:marRight w:val="0"/>
                  <w:marTop w:val="0"/>
                  <w:marBottom w:val="0"/>
                  <w:divBdr>
                    <w:top w:val="none" w:sz="0" w:space="0" w:color="auto"/>
                    <w:left w:val="none" w:sz="0" w:space="0" w:color="auto"/>
                    <w:bottom w:val="none" w:sz="0" w:space="0" w:color="auto"/>
                    <w:right w:val="none" w:sz="0" w:space="0" w:color="auto"/>
                  </w:divBdr>
                  <w:divsChild>
                    <w:div w:id="141431167">
                      <w:marLeft w:val="0"/>
                      <w:marRight w:val="0"/>
                      <w:marTop w:val="0"/>
                      <w:marBottom w:val="0"/>
                      <w:divBdr>
                        <w:top w:val="none" w:sz="0" w:space="0" w:color="auto"/>
                        <w:left w:val="none" w:sz="0" w:space="0" w:color="auto"/>
                        <w:bottom w:val="none" w:sz="0" w:space="0" w:color="auto"/>
                        <w:right w:val="none" w:sz="0" w:space="0" w:color="auto"/>
                      </w:divBdr>
                      <w:divsChild>
                        <w:div w:id="653605836">
                          <w:marLeft w:val="0"/>
                          <w:marRight w:val="0"/>
                          <w:marTop w:val="0"/>
                          <w:marBottom w:val="0"/>
                          <w:divBdr>
                            <w:top w:val="none" w:sz="0" w:space="0" w:color="auto"/>
                            <w:left w:val="none" w:sz="0" w:space="0" w:color="auto"/>
                            <w:bottom w:val="none" w:sz="0" w:space="0" w:color="auto"/>
                            <w:right w:val="none" w:sz="0" w:space="0" w:color="auto"/>
                          </w:divBdr>
                          <w:divsChild>
                            <w:div w:id="120483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7347481">
      <w:bodyDiv w:val="1"/>
      <w:marLeft w:val="0"/>
      <w:marRight w:val="0"/>
      <w:marTop w:val="0"/>
      <w:marBottom w:val="0"/>
      <w:divBdr>
        <w:top w:val="none" w:sz="0" w:space="0" w:color="auto"/>
        <w:left w:val="none" w:sz="0" w:space="0" w:color="auto"/>
        <w:bottom w:val="none" w:sz="0" w:space="0" w:color="auto"/>
        <w:right w:val="none" w:sz="0" w:space="0" w:color="auto"/>
      </w:divBdr>
    </w:div>
    <w:div w:id="653989446">
      <w:bodyDiv w:val="1"/>
      <w:marLeft w:val="0"/>
      <w:marRight w:val="0"/>
      <w:marTop w:val="0"/>
      <w:marBottom w:val="0"/>
      <w:divBdr>
        <w:top w:val="none" w:sz="0" w:space="0" w:color="auto"/>
        <w:left w:val="none" w:sz="0" w:space="0" w:color="auto"/>
        <w:bottom w:val="none" w:sz="0" w:space="0" w:color="auto"/>
        <w:right w:val="none" w:sz="0" w:space="0" w:color="auto"/>
      </w:divBdr>
    </w:div>
    <w:div w:id="679235968">
      <w:bodyDiv w:val="1"/>
      <w:marLeft w:val="0"/>
      <w:marRight w:val="0"/>
      <w:marTop w:val="0"/>
      <w:marBottom w:val="0"/>
      <w:divBdr>
        <w:top w:val="none" w:sz="0" w:space="0" w:color="auto"/>
        <w:left w:val="none" w:sz="0" w:space="0" w:color="auto"/>
        <w:bottom w:val="none" w:sz="0" w:space="0" w:color="auto"/>
        <w:right w:val="none" w:sz="0" w:space="0" w:color="auto"/>
      </w:divBdr>
    </w:div>
    <w:div w:id="681667430">
      <w:bodyDiv w:val="1"/>
      <w:marLeft w:val="0"/>
      <w:marRight w:val="0"/>
      <w:marTop w:val="0"/>
      <w:marBottom w:val="0"/>
      <w:divBdr>
        <w:top w:val="none" w:sz="0" w:space="0" w:color="auto"/>
        <w:left w:val="none" w:sz="0" w:space="0" w:color="auto"/>
        <w:bottom w:val="none" w:sz="0" w:space="0" w:color="auto"/>
        <w:right w:val="none" w:sz="0" w:space="0" w:color="auto"/>
      </w:divBdr>
    </w:div>
    <w:div w:id="685520839">
      <w:bodyDiv w:val="1"/>
      <w:marLeft w:val="0"/>
      <w:marRight w:val="0"/>
      <w:marTop w:val="0"/>
      <w:marBottom w:val="0"/>
      <w:divBdr>
        <w:top w:val="none" w:sz="0" w:space="0" w:color="auto"/>
        <w:left w:val="none" w:sz="0" w:space="0" w:color="auto"/>
        <w:bottom w:val="none" w:sz="0" w:space="0" w:color="auto"/>
        <w:right w:val="none" w:sz="0" w:space="0" w:color="auto"/>
      </w:divBdr>
      <w:divsChild>
        <w:div w:id="183904753">
          <w:marLeft w:val="0"/>
          <w:marRight w:val="0"/>
          <w:marTop w:val="0"/>
          <w:marBottom w:val="0"/>
          <w:divBdr>
            <w:top w:val="none" w:sz="0" w:space="0" w:color="auto"/>
            <w:left w:val="none" w:sz="0" w:space="0" w:color="auto"/>
            <w:bottom w:val="none" w:sz="0" w:space="0" w:color="auto"/>
            <w:right w:val="none" w:sz="0" w:space="0" w:color="auto"/>
          </w:divBdr>
        </w:div>
      </w:divsChild>
    </w:div>
    <w:div w:id="686752096">
      <w:bodyDiv w:val="1"/>
      <w:marLeft w:val="0"/>
      <w:marRight w:val="0"/>
      <w:marTop w:val="0"/>
      <w:marBottom w:val="0"/>
      <w:divBdr>
        <w:top w:val="none" w:sz="0" w:space="0" w:color="auto"/>
        <w:left w:val="none" w:sz="0" w:space="0" w:color="auto"/>
        <w:bottom w:val="none" w:sz="0" w:space="0" w:color="auto"/>
        <w:right w:val="none" w:sz="0" w:space="0" w:color="auto"/>
      </w:divBdr>
      <w:divsChild>
        <w:div w:id="56981837">
          <w:marLeft w:val="0"/>
          <w:marRight w:val="0"/>
          <w:marTop w:val="0"/>
          <w:marBottom w:val="0"/>
          <w:divBdr>
            <w:top w:val="none" w:sz="0" w:space="0" w:color="auto"/>
            <w:left w:val="none" w:sz="0" w:space="0" w:color="auto"/>
            <w:bottom w:val="none" w:sz="0" w:space="0" w:color="auto"/>
            <w:right w:val="none" w:sz="0" w:space="0" w:color="auto"/>
          </w:divBdr>
          <w:divsChild>
            <w:div w:id="95679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62079">
      <w:bodyDiv w:val="1"/>
      <w:marLeft w:val="0"/>
      <w:marRight w:val="0"/>
      <w:marTop w:val="0"/>
      <w:marBottom w:val="0"/>
      <w:divBdr>
        <w:top w:val="none" w:sz="0" w:space="0" w:color="auto"/>
        <w:left w:val="none" w:sz="0" w:space="0" w:color="auto"/>
        <w:bottom w:val="none" w:sz="0" w:space="0" w:color="auto"/>
        <w:right w:val="none" w:sz="0" w:space="0" w:color="auto"/>
      </w:divBdr>
      <w:divsChild>
        <w:div w:id="331420867">
          <w:marLeft w:val="0"/>
          <w:marRight w:val="0"/>
          <w:marTop w:val="0"/>
          <w:marBottom w:val="150"/>
          <w:divBdr>
            <w:top w:val="none" w:sz="0" w:space="0" w:color="auto"/>
            <w:left w:val="none" w:sz="0" w:space="0" w:color="auto"/>
            <w:bottom w:val="none" w:sz="0" w:space="0" w:color="auto"/>
            <w:right w:val="none" w:sz="0" w:space="0" w:color="auto"/>
          </w:divBdr>
          <w:divsChild>
            <w:div w:id="125489718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06687295">
      <w:bodyDiv w:val="1"/>
      <w:marLeft w:val="0"/>
      <w:marRight w:val="0"/>
      <w:marTop w:val="0"/>
      <w:marBottom w:val="0"/>
      <w:divBdr>
        <w:top w:val="none" w:sz="0" w:space="0" w:color="auto"/>
        <w:left w:val="none" w:sz="0" w:space="0" w:color="auto"/>
        <w:bottom w:val="none" w:sz="0" w:space="0" w:color="auto"/>
        <w:right w:val="none" w:sz="0" w:space="0" w:color="auto"/>
      </w:divBdr>
      <w:divsChild>
        <w:div w:id="206838363">
          <w:marLeft w:val="0"/>
          <w:marRight w:val="0"/>
          <w:marTop w:val="0"/>
          <w:marBottom w:val="0"/>
          <w:divBdr>
            <w:top w:val="none" w:sz="0" w:space="0" w:color="auto"/>
            <w:left w:val="none" w:sz="0" w:space="0" w:color="auto"/>
            <w:bottom w:val="none" w:sz="0" w:space="0" w:color="auto"/>
            <w:right w:val="none" w:sz="0" w:space="0" w:color="auto"/>
          </w:divBdr>
          <w:divsChild>
            <w:div w:id="6450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059750">
      <w:bodyDiv w:val="1"/>
      <w:marLeft w:val="0"/>
      <w:marRight w:val="0"/>
      <w:marTop w:val="0"/>
      <w:marBottom w:val="0"/>
      <w:divBdr>
        <w:top w:val="none" w:sz="0" w:space="0" w:color="auto"/>
        <w:left w:val="none" w:sz="0" w:space="0" w:color="auto"/>
        <w:bottom w:val="none" w:sz="0" w:space="0" w:color="auto"/>
        <w:right w:val="none" w:sz="0" w:space="0" w:color="auto"/>
      </w:divBdr>
    </w:div>
    <w:div w:id="731735575">
      <w:bodyDiv w:val="1"/>
      <w:marLeft w:val="0"/>
      <w:marRight w:val="0"/>
      <w:marTop w:val="0"/>
      <w:marBottom w:val="0"/>
      <w:divBdr>
        <w:top w:val="none" w:sz="0" w:space="0" w:color="auto"/>
        <w:left w:val="none" w:sz="0" w:space="0" w:color="auto"/>
        <w:bottom w:val="none" w:sz="0" w:space="0" w:color="auto"/>
        <w:right w:val="none" w:sz="0" w:space="0" w:color="auto"/>
      </w:divBdr>
      <w:divsChild>
        <w:div w:id="1740596275">
          <w:marLeft w:val="0"/>
          <w:marRight w:val="0"/>
          <w:marTop w:val="0"/>
          <w:marBottom w:val="0"/>
          <w:divBdr>
            <w:top w:val="none" w:sz="0" w:space="0" w:color="auto"/>
            <w:left w:val="none" w:sz="0" w:space="0" w:color="auto"/>
            <w:bottom w:val="none" w:sz="0" w:space="0" w:color="auto"/>
            <w:right w:val="none" w:sz="0" w:space="0" w:color="auto"/>
          </w:divBdr>
          <w:divsChild>
            <w:div w:id="355813707">
              <w:marLeft w:val="0"/>
              <w:marRight w:val="0"/>
              <w:marTop w:val="0"/>
              <w:marBottom w:val="0"/>
              <w:divBdr>
                <w:top w:val="none" w:sz="0" w:space="0" w:color="auto"/>
                <w:left w:val="none" w:sz="0" w:space="0" w:color="auto"/>
                <w:bottom w:val="none" w:sz="0" w:space="0" w:color="auto"/>
                <w:right w:val="none" w:sz="0" w:space="0" w:color="auto"/>
              </w:divBdr>
              <w:divsChild>
                <w:div w:id="1101410768">
                  <w:marLeft w:val="0"/>
                  <w:marRight w:val="0"/>
                  <w:marTop w:val="0"/>
                  <w:marBottom w:val="0"/>
                  <w:divBdr>
                    <w:top w:val="none" w:sz="0" w:space="0" w:color="auto"/>
                    <w:left w:val="none" w:sz="0" w:space="0" w:color="auto"/>
                    <w:bottom w:val="none" w:sz="0" w:space="0" w:color="auto"/>
                    <w:right w:val="none" w:sz="0" w:space="0" w:color="auto"/>
                  </w:divBdr>
                  <w:divsChild>
                    <w:div w:id="373388848">
                      <w:marLeft w:val="0"/>
                      <w:marRight w:val="0"/>
                      <w:marTop w:val="0"/>
                      <w:marBottom w:val="0"/>
                      <w:divBdr>
                        <w:top w:val="none" w:sz="0" w:space="0" w:color="auto"/>
                        <w:left w:val="none" w:sz="0" w:space="0" w:color="auto"/>
                        <w:bottom w:val="none" w:sz="0" w:space="0" w:color="auto"/>
                        <w:right w:val="none" w:sz="0" w:space="0" w:color="auto"/>
                      </w:divBdr>
                      <w:divsChild>
                        <w:div w:id="1939169007">
                          <w:marLeft w:val="0"/>
                          <w:marRight w:val="0"/>
                          <w:marTop w:val="0"/>
                          <w:marBottom w:val="0"/>
                          <w:divBdr>
                            <w:top w:val="none" w:sz="0" w:space="0" w:color="auto"/>
                            <w:left w:val="none" w:sz="0" w:space="0" w:color="auto"/>
                            <w:bottom w:val="none" w:sz="0" w:space="0" w:color="auto"/>
                            <w:right w:val="none" w:sz="0" w:space="0" w:color="auto"/>
                          </w:divBdr>
                          <w:divsChild>
                            <w:div w:id="680133325">
                              <w:marLeft w:val="0"/>
                              <w:marRight w:val="0"/>
                              <w:marTop w:val="0"/>
                              <w:marBottom w:val="0"/>
                              <w:divBdr>
                                <w:top w:val="none" w:sz="0" w:space="0" w:color="auto"/>
                                <w:left w:val="none" w:sz="0" w:space="0" w:color="auto"/>
                                <w:bottom w:val="none" w:sz="0" w:space="0" w:color="auto"/>
                                <w:right w:val="none" w:sz="0" w:space="0" w:color="auto"/>
                              </w:divBdr>
                              <w:divsChild>
                                <w:div w:id="1519004633">
                                  <w:marLeft w:val="0"/>
                                  <w:marRight w:val="0"/>
                                  <w:marTop w:val="0"/>
                                  <w:marBottom w:val="0"/>
                                  <w:divBdr>
                                    <w:top w:val="none" w:sz="0" w:space="0" w:color="auto"/>
                                    <w:left w:val="none" w:sz="0" w:space="0" w:color="auto"/>
                                    <w:bottom w:val="none" w:sz="0" w:space="0" w:color="auto"/>
                                    <w:right w:val="none" w:sz="0" w:space="0" w:color="auto"/>
                                  </w:divBdr>
                                </w:div>
                                <w:div w:id="183595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9393517">
      <w:bodyDiv w:val="1"/>
      <w:marLeft w:val="0"/>
      <w:marRight w:val="0"/>
      <w:marTop w:val="0"/>
      <w:marBottom w:val="0"/>
      <w:divBdr>
        <w:top w:val="none" w:sz="0" w:space="0" w:color="auto"/>
        <w:left w:val="none" w:sz="0" w:space="0" w:color="auto"/>
        <w:bottom w:val="none" w:sz="0" w:space="0" w:color="auto"/>
        <w:right w:val="none" w:sz="0" w:space="0" w:color="auto"/>
      </w:divBdr>
      <w:divsChild>
        <w:div w:id="939992493">
          <w:marLeft w:val="0"/>
          <w:marRight w:val="0"/>
          <w:marTop w:val="0"/>
          <w:marBottom w:val="150"/>
          <w:divBdr>
            <w:top w:val="none" w:sz="0" w:space="0" w:color="auto"/>
            <w:left w:val="none" w:sz="0" w:space="0" w:color="auto"/>
            <w:bottom w:val="none" w:sz="0" w:space="0" w:color="auto"/>
            <w:right w:val="none" w:sz="0" w:space="0" w:color="auto"/>
          </w:divBdr>
          <w:divsChild>
            <w:div w:id="12909378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82844356">
      <w:bodyDiv w:val="1"/>
      <w:marLeft w:val="0"/>
      <w:marRight w:val="0"/>
      <w:marTop w:val="0"/>
      <w:marBottom w:val="0"/>
      <w:divBdr>
        <w:top w:val="none" w:sz="0" w:space="0" w:color="auto"/>
        <w:left w:val="none" w:sz="0" w:space="0" w:color="auto"/>
        <w:bottom w:val="none" w:sz="0" w:space="0" w:color="auto"/>
        <w:right w:val="none" w:sz="0" w:space="0" w:color="auto"/>
      </w:divBdr>
      <w:divsChild>
        <w:div w:id="1023021005">
          <w:marLeft w:val="0"/>
          <w:marRight w:val="0"/>
          <w:marTop w:val="0"/>
          <w:marBottom w:val="0"/>
          <w:divBdr>
            <w:top w:val="none" w:sz="0" w:space="0" w:color="auto"/>
            <w:left w:val="none" w:sz="0" w:space="0" w:color="auto"/>
            <w:bottom w:val="none" w:sz="0" w:space="0" w:color="auto"/>
            <w:right w:val="none" w:sz="0" w:space="0" w:color="auto"/>
          </w:divBdr>
          <w:divsChild>
            <w:div w:id="377049185">
              <w:marLeft w:val="0"/>
              <w:marRight w:val="0"/>
              <w:marTop w:val="0"/>
              <w:marBottom w:val="0"/>
              <w:divBdr>
                <w:top w:val="none" w:sz="0" w:space="0" w:color="auto"/>
                <w:left w:val="none" w:sz="0" w:space="0" w:color="auto"/>
                <w:bottom w:val="none" w:sz="0" w:space="0" w:color="auto"/>
                <w:right w:val="none" w:sz="0" w:space="0" w:color="auto"/>
              </w:divBdr>
              <w:divsChild>
                <w:div w:id="1686050501">
                  <w:marLeft w:val="0"/>
                  <w:marRight w:val="0"/>
                  <w:marTop w:val="0"/>
                  <w:marBottom w:val="0"/>
                  <w:divBdr>
                    <w:top w:val="none" w:sz="0" w:space="0" w:color="auto"/>
                    <w:left w:val="none" w:sz="0" w:space="0" w:color="auto"/>
                    <w:bottom w:val="none" w:sz="0" w:space="0" w:color="auto"/>
                    <w:right w:val="none" w:sz="0" w:space="0" w:color="auto"/>
                  </w:divBdr>
                  <w:divsChild>
                    <w:div w:id="985354435">
                      <w:marLeft w:val="0"/>
                      <w:marRight w:val="0"/>
                      <w:marTop w:val="0"/>
                      <w:marBottom w:val="0"/>
                      <w:divBdr>
                        <w:top w:val="none" w:sz="0" w:space="0" w:color="auto"/>
                        <w:left w:val="none" w:sz="0" w:space="0" w:color="auto"/>
                        <w:bottom w:val="none" w:sz="0" w:space="0" w:color="auto"/>
                        <w:right w:val="none" w:sz="0" w:space="0" w:color="auto"/>
                      </w:divBdr>
                      <w:divsChild>
                        <w:div w:id="1162357024">
                          <w:marLeft w:val="0"/>
                          <w:marRight w:val="0"/>
                          <w:marTop w:val="0"/>
                          <w:marBottom w:val="0"/>
                          <w:divBdr>
                            <w:top w:val="none" w:sz="0" w:space="0" w:color="auto"/>
                            <w:left w:val="none" w:sz="0" w:space="0" w:color="auto"/>
                            <w:bottom w:val="none" w:sz="0" w:space="0" w:color="auto"/>
                            <w:right w:val="none" w:sz="0" w:space="0" w:color="auto"/>
                          </w:divBdr>
                          <w:divsChild>
                            <w:div w:id="88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868536">
      <w:bodyDiv w:val="1"/>
      <w:marLeft w:val="0"/>
      <w:marRight w:val="0"/>
      <w:marTop w:val="0"/>
      <w:marBottom w:val="0"/>
      <w:divBdr>
        <w:top w:val="none" w:sz="0" w:space="0" w:color="auto"/>
        <w:left w:val="none" w:sz="0" w:space="0" w:color="auto"/>
        <w:bottom w:val="none" w:sz="0" w:space="0" w:color="auto"/>
        <w:right w:val="none" w:sz="0" w:space="0" w:color="auto"/>
      </w:divBdr>
    </w:div>
    <w:div w:id="795562571">
      <w:bodyDiv w:val="1"/>
      <w:marLeft w:val="0"/>
      <w:marRight w:val="0"/>
      <w:marTop w:val="0"/>
      <w:marBottom w:val="0"/>
      <w:divBdr>
        <w:top w:val="none" w:sz="0" w:space="0" w:color="auto"/>
        <w:left w:val="none" w:sz="0" w:space="0" w:color="auto"/>
        <w:bottom w:val="none" w:sz="0" w:space="0" w:color="auto"/>
        <w:right w:val="none" w:sz="0" w:space="0" w:color="auto"/>
      </w:divBdr>
      <w:divsChild>
        <w:div w:id="1010372674">
          <w:marLeft w:val="0"/>
          <w:marRight w:val="0"/>
          <w:marTop w:val="0"/>
          <w:marBottom w:val="0"/>
          <w:divBdr>
            <w:top w:val="none" w:sz="0" w:space="0" w:color="auto"/>
            <w:left w:val="none" w:sz="0" w:space="0" w:color="auto"/>
            <w:bottom w:val="none" w:sz="0" w:space="0" w:color="auto"/>
            <w:right w:val="none" w:sz="0" w:space="0" w:color="auto"/>
          </w:divBdr>
        </w:div>
      </w:divsChild>
    </w:div>
    <w:div w:id="797645611">
      <w:bodyDiv w:val="1"/>
      <w:marLeft w:val="0"/>
      <w:marRight w:val="0"/>
      <w:marTop w:val="0"/>
      <w:marBottom w:val="0"/>
      <w:divBdr>
        <w:top w:val="none" w:sz="0" w:space="0" w:color="auto"/>
        <w:left w:val="none" w:sz="0" w:space="0" w:color="auto"/>
        <w:bottom w:val="none" w:sz="0" w:space="0" w:color="auto"/>
        <w:right w:val="none" w:sz="0" w:space="0" w:color="auto"/>
      </w:divBdr>
      <w:divsChild>
        <w:div w:id="1478910867">
          <w:marLeft w:val="0"/>
          <w:marRight w:val="0"/>
          <w:marTop w:val="0"/>
          <w:marBottom w:val="0"/>
          <w:divBdr>
            <w:top w:val="none" w:sz="0" w:space="0" w:color="auto"/>
            <w:left w:val="none" w:sz="0" w:space="0" w:color="auto"/>
            <w:bottom w:val="none" w:sz="0" w:space="0" w:color="auto"/>
            <w:right w:val="none" w:sz="0" w:space="0" w:color="auto"/>
          </w:divBdr>
          <w:divsChild>
            <w:div w:id="85106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248578">
      <w:bodyDiv w:val="1"/>
      <w:marLeft w:val="0"/>
      <w:marRight w:val="0"/>
      <w:marTop w:val="0"/>
      <w:marBottom w:val="0"/>
      <w:divBdr>
        <w:top w:val="none" w:sz="0" w:space="0" w:color="auto"/>
        <w:left w:val="none" w:sz="0" w:space="0" w:color="auto"/>
        <w:bottom w:val="none" w:sz="0" w:space="0" w:color="auto"/>
        <w:right w:val="none" w:sz="0" w:space="0" w:color="auto"/>
      </w:divBdr>
    </w:div>
    <w:div w:id="851382183">
      <w:bodyDiv w:val="1"/>
      <w:marLeft w:val="0"/>
      <w:marRight w:val="0"/>
      <w:marTop w:val="0"/>
      <w:marBottom w:val="0"/>
      <w:divBdr>
        <w:top w:val="none" w:sz="0" w:space="0" w:color="auto"/>
        <w:left w:val="none" w:sz="0" w:space="0" w:color="auto"/>
        <w:bottom w:val="none" w:sz="0" w:space="0" w:color="auto"/>
        <w:right w:val="none" w:sz="0" w:space="0" w:color="auto"/>
      </w:divBdr>
    </w:div>
    <w:div w:id="856232220">
      <w:bodyDiv w:val="1"/>
      <w:marLeft w:val="0"/>
      <w:marRight w:val="0"/>
      <w:marTop w:val="0"/>
      <w:marBottom w:val="0"/>
      <w:divBdr>
        <w:top w:val="none" w:sz="0" w:space="0" w:color="auto"/>
        <w:left w:val="none" w:sz="0" w:space="0" w:color="auto"/>
        <w:bottom w:val="none" w:sz="0" w:space="0" w:color="auto"/>
        <w:right w:val="none" w:sz="0" w:space="0" w:color="auto"/>
      </w:divBdr>
    </w:div>
    <w:div w:id="861548405">
      <w:bodyDiv w:val="1"/>
      <w:marLeft w:val="0"/>
      <w:marRight w:val="0"/>
      <w:marTop w:val="0"/>
      <w:marBottom w:val="0"/>
      <w:divBdr>
        <w:top w:val="none" w:sz="0" w:space="0" w:color="auto"/>
        <w:left w:val="none" w:sz="0" w:space="0" w:color="auto"/>
        <w:bottom w:val="none" w:sz="0" w:space="0" w:color="auto"/>
        <w:right w:val="none" w:sz="0" w:space="0" w:color="auto"/>
      </w:divBdr>
      <w:divsChild>
        <w:div w:id="936137579">
          <w:marLeft w:val="0"/>
          <w:marRight w:val="0"/>
          <w:marTop w:val="0"/>
          <w:marBottom w:val="150"/>
          <w:divBdr>
            <w:top w:val="none" w:sz="0" w:space="0" w:color="auto"/>
            <w:left w:val="none" w:sz="0" w:space="0" w:color="auto"/>
            <w:bottom w:val="none" w:sz="0" w:space="0" w:color="auto"/>
            <w:right w:val="none" w:sz="0" w:space="0" w:color="auto"/>
          </w:divBdr>
          <w:divsChild>
            <w:div w:id="1378580793">
              <w:marLeft w:val="360"/>
              <w:marRight w:val="0"/>
              <w:marTop w:val="0"/>
              <w:marBottom w:val="0"/>
              <w:divBdr>
                <w:top w:val="none" w:sz="0" w:space="0" w:color="auto"/>
                <w:left w:val="none" w:sz="0" w:space="0" w:color="auto"/>
                <w:bottom w:val="none" w:sz="0" w:space="0" w:color="auto"/>
                <w:right w:val="none" w:sz="0" w:space="0" w:color="auto"/>
              </w:divBdr>
              <w:divsChild>
                <w:div w:id="418135976">
                  <w:marLeft w:val="360"/>
                  <w:marRight w:val="0"/>
                  <w:marTop w:val="0"/>
                  <w:marBottom w:val="0"/>
                  <w:divBdr>
                    <w:top w:val="none" w:sz="0" w:space="0" w:color="auto"/>
                    <w:left w:val="none" w:sz="0" w:space="0" w:color="auto"/>
                    <w:bottom w:val="none" w:sz="0" w:space="0" w:color="auto"/>
                    <w:right w:val="none" w:sz="0" w:space="0" w:color="auto"/>
                  </w:divBdr>
                </w:div>
                <w:div w:id="842430124">
                  <w:marLeft w:val="360"/>
                  <w:marRight w:val="0"/>
                  <w:marTop w:val="0"/>
                  <w:marBottom w:val="0"/>
                  <w:divBdr>
                    <w:top w:val="none" w:sz="0" w:space="0" w:color="auto"/>
                    <w:left w:val="none" w:sz="0" w:space="0" w:color="auto"/>
                    <w:bottom w:val="none" w:sz="0" w:space="0" w:color="auto"/>
                    <w:right w:val="none" w:sz="0" w:space="0" w:color="auto"/>
                  </w:divBdr>
                </w:div>
                <w:div w:id="1188712014">
                  <w:marLeft w:val="360"/>
                  <w:marRight w:val="0"/>
                  <w:marTop w:val="0"/>
                  <w:marBottom w:val="0"/>
                  <w:divBdr>
                    <w:top w:val="none" w:sz="0" w:space="0" w:color="auto"/>
                    <w:left w:val="none" w:sz="0" w:space="0" w:color="auto"/>
                    <w:bottom w:val="none" w:sz="0" w:space="0" w:color="auto"/>
                    <w:right w:val="none" w:sz="0" w:space="0" w:color="auto"/>
                  </w:divBdr>
                </w:div>
                <w:div w:id="130816700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332">
      <w:bodyDiv w:val="1"/>
      <w:marLeft w:val="0"/>
      <w:marRight w:val="0"/>
      <w:marTop w:val="0"/>
      <w:marBottom w:val="0"/>
      <w:divBdr>
        <w:top w:val="none" w:sz="0" w:space="0" w:color="auto"/>
        <w:left w:val="none" w:sz="0" w:space="0" w:color="auto"/>
        <w:bottom w:val="none" w:sz="0" w:space="0" w:color="auto"/>
        <w:right w:val="none" w:sz="0" w:space="0" w:color="auto"/>
      </w:divBdr>
      <w:divsChild>
        <w:div w:id="1875388570">
          <w:marLeft w:val="0"/>
          <w:marRight w:val="0"/>
          <w:marTop w:val="0"/>
          <w:marBottom w:val="0"/>
          <w:divBdr>
            <w:top w:val="none" w:sz="0" w:space="0" w:color="auto"/>
            <w:left w:val="none" w:sz="0" w:space="0" w:color="auto"/>
            <w:bottom w:val="none" w:sz="0" w:space="0" w:color="auto"/>
            <w:right w:val="none" w:sz="0" w:space="0" w:color="auto"/>
          </w:divBdr>
        </w:div>
      </w:divsChild>
    </w:div>
    <w:div w:id="901602781">
      <w:bodyDiv w:val="1"/>
      <w:marLeft w:val="0"/>
      <w:marRight w:val="0"/>
      <w:marTop w:val="0"/>
      <w:marBottom w:val="0"/>
      <w:divBdr>
        <w:top w:val="none" w:sz="0" w:space="0" w:color="auto"/>
        <w:left w:val="none" w:sz="0" w:space="0" w:color="auto"/>
        <w:bottom w:val="none" w:sz="0" w:space="0" w:color="auto"/>
        <w:right w:val="none" w:sz="0" w:space="0" w:color="auto"/>
      </w:divBdr>
    </w:div>
    <w:div w:id="907299126">
      <w:bodyDiv w:val="1"/>
      <w:marLeft w:val="0"/>
      <w:marRight w:val="0"/>
      <w:marTop w:val="0"/>
      <w:marBottom w:val="0"/>
      <w:divBdr>
        <w:top w:val="none" w:sz="0" w:space="0" w:color="auto"/>
        <w:left w:val="none" w:sz="0" w:space="0" w:color="auto"/>
        <w:bottom w:val="none" w:sz="0" w:space="0" w:color="auto"/>
        <w:right w:val="none" w:sz="0" w:space="0" w:color="auto"/>
      </w:divBdr>
    </w:div>
    <w:div w:id="924001238">
      <w:bodyDiv w:val="1"/>
      <w:marLeft w:val="0"/>
      <w:marRight w:val="0"/>
      <w:marTop w:val="0"/>
      <w:marBottom w:val="0"/>
      <w:divBdr>
        <w:top w:val="none" w:sz="0" w:space="0" w:color="auto"/>
        <w:left w:val="none" w:sz="0" w:space="0" w:color="auto"/>
        <w:bottom w:val="none" w:sz="0" w:space="0" w:color="auto"/>
        <w:right w:val="none" w:sz="0" w:space="0" w:color="auto"/>
      </w:divBdr>
    </w:div>
    <w:div w:id="928000453">
      <w:bodyDiv w:val="1"/>
      <w:marLeft w:val="0"/>
      <w:marRight w:val="0"/>
      <w:marTop w:val="0"/>
      <w:marBottom w:val="0"/>
      <w:divBdr>
        <w:top w:val="none" w:sz="0" w:space="0" w:color="auto"/>
        <w:left w:val="none" w:sz="0" w:space="0" w:color="auto"/>
        <w:bottom w:val="none" w:sz="0" w:space="0" w:color="auto"/>
        <w:right w:val="none" w:sz="0" w:space="0" w:color="auto"/>
      </w:divBdr>
      <w:divsChild>
        <w:div w:id="1509444091">
          <w:marLeft w:val="0"/>
          <w:marRight w:val="0"/>
          <w:marTop w:val="0"/>
          <w:marBottom w:val="0"/>
          <w:divBdr>
            <w:top w:val="none" w:sz="0" w:space="0" w:color="auto"/>
            <w:left w:val="none" w:sz="0" w:space="0" w:color="auto"/>
            <w:bottom w:val="none" w:sz="0" w:space="0" w:color="auto"/>
            <w:right w:val="none" w:sz="0" w:space="0" w:color="auto"/>
          </w:divBdr>
          <w:divsChild>
            <w:div w:id="29140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922894">
      <w:bodyDiv w:val="1"/>
      <w:marLeft w:val="0"/>
      <w:marRight w:val="0"/>
      <w:marTop w:val="0"/>
      <w:marBottom w:val="0"/>
      <w:divBdr>
        <w:top w:val="none" w:sz="0" w:space="0" w:color="auto"/>
        <w:left w:val="none" w:sz="0" w:space="0" w:color="auto"/>
        <w:bottom w:val="none" w:sz="0" w:space="0" w:color="auto"/>
        <w:right w:val="none" w:sz="0" w:space="0" w:color="auto"/>
      </w:divBdr>
      <w:divsChild>
        <w:div w:id="133832701">
          <w:marLeft w:val="0"/>
          <w:marRight w:val="0"/>
          <w:marTop w:val="0"/>
          <w:marBottom w:val="0"/>
          <w:divBdr>
            <w:top w:val="none" w:sz="0" w:space="0" w:color="auto"/>
            <w:left w:val="none" w:sz="0" w:space="0" w:color="auto"/>
            <w:bottom w:val="none" w:sz="0" w:space="0" w:color="auto"/>
            <w:right w:val="none" w:sz="0" w:space="0" w:color="auto"/>
          </w:divBdr>
          <w:divsChild>
            <w:div w:id="62747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977614">
      <w:bodyDiv w:val="1"/>
      <w:marLeft w:val="0"/>
      <w:marRight w:val="0"/>
      <w:marTop w:val="0"/>
      <w:marBottom w:val="0"/>
      <w:divBdr>
        <w:top w:val="none" w:sz="0" w:space="0" w:color="auto"/>
        <w:left w:val="none" w:sz="0" w:space="0" w:color="auto"/>
        <w:bottom w:val="none" w:sz="0" w:space="0" w:color="auto"/>
        <w:right w:val="none" w:sz="0" w:space="0" w:color="auto"/>
      </w:divBdr>
      <w:divsChild>
        <w:div w:id="1305040043">
          <w:marLeft w:val="0"/>
          <w:marRight w:val="0"/>
          <w:marTop w:val="0"/>
          <w:marBottom w:val="0"/>
          <w:divBdr>
            <w:top w:val="none" w:sz="0" w:space="0" w:color="auto"/>
            <w:left w:val="none" w:sz="0" w:space="0" w:color="auto"/>
            <w:bottom w:val="none" w:sz="0" w:space="0" w:color="auto"/>
            <w:right w:val="none" w:sz="0" w:space="0" w:color="auto"/>
          </w:divBdr>
        </w:div>
      </w:divsChild>
    </w:div>
    <w:div w:id="936671245">
      <w:bodyDiv w:val="1"/>
      <w:marLeft w:val="0"/>
      <w:marRight w:val="0"/>
      <w:marTop w:val="0"/>
      <w:marBottom w:val="0"/>
      <w:divBdr>
        <w:top w:val="none" w:sz="0" w:space="0" w:color="auto"/>
        <w:left w:val="none" w:sz="0" w:space="0" w:color="auto"/>
        <w:bottom w:val="none" w:sz="0" w:space="0" w:color="auto"/>
        <w:right w:val="none" w:sz="0" w:space="0" w:color="auto"/>
      </w:divBdr>
      <w:divsChild>
        <w:div w:id="1706782885">
          <w:marLeft w:val="0"/>
          <w:marRight w:val="0"/>
          <w:marTop w:val="0"/>
          <w:marBottom w:val="150"/>
          <w:divBdr>
            <w:top w:val="none" w:sz="0" w:space="0" w:color="auto"/>
            <w:left w:val="none" w:sz="0" w:space="0" w:color="auto"/>
            <w:bottom w:val="none" w:sz="0" w:space="0" w:color="auto"/>
            <w:right w:val="none" w:sz="0" w:space="0" w:color="auto"/>
          </w:divBdr>
          <w:divsChild>
            <w:div w:id="2056614062">
              <w:marLeft w:val="360"/>
              <w:marRight w:val="0"/>
              <w:marTop w:val="0"/>
              <w:marBottom w:val="0"/>
              <w:divBdr>
                <w:top w:val="none" w:sz="0" w:space="0" w:color="auto"/>
                <w:left w:val="none" w:sz="0" w:space="0" w:color="auto"/>
                <w:bottom w:val="none" w:sz="0" w:space="0" w:color="auto"/>
                <w:right w:val="none" w:sz="0" w:space="0" w:color="auto"/>
              </w:divBdr>
              <w:divsChild>
                <w:div w:id="1088117773">
                  <w:marLeft w:val="360"/>
                  <w:marRight w:val="0"/>
                  <w:marTop w:val="0"/>
                  <w:marBottom w:val="0"/>
                  <w:divBdr>
                    <w:top w:val="none" w:sz="0" w:space="0" w:color="auto"/>
                    <w:left w:val="none" w:sz="0" w:space="0" w:color="auto"/>
                    <w:bottom w:val="none" w:sz="0" w:space="0" w:color="auto"/>
                    <w:right w:val="none" w:sz="0" w:space="0" w:color="auto"/>
                  </w:divBdr>
                  <w:divsChild>
                    <w:div w:id="182203792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225643">
      <w:bodyDiv w:val="1"/>
      <w:marLeft w:val="0"/>
      <w:marRight w:val="0"/>
      <w:marTop w:val="0"/>
      <w:marBottom w:val="0"/>
      <w:divBdr>
        <w:top w:val="none" w:sz="0" w:space="0" w:color="auto"/>
        <w:left w:val="none" w:sz="0" w:space="0" w:color="auto"/>
        <w:bottom w:val="none" w:sz="0" w:space="0" w:color="auto"/>
        <w:right w:val="none" w:sz="0" w:space="0" w:color="auto"/>
      </w:divBdr>
    </w:div>
    <w:div w:id="967852491">
      <w:bodyDiv w:val="1"/>
      <w:marLeft w:val="0"/>
      <w:marRight w:val="0"/>
      <w:marTop w:val="0"/>
      <w:marBottom w:val="0"/>
      <w:divBdr>
        <w:top w:val="none" w:sz="0" w:space="0" w:color="auto"/>
        <w:left w:val="none" w:sz="0" w:space="0" w:color="auto"/>
        <w:bottom w:val="none" w:sz="0" w:space="0" w:color="auto"/>
        <w:right w:val="none" w:sz="0" w:space="0" w:color="auto"/>
      </w:divBdr>
      <w:divsChild>
        <w:div w:id="2122529621">
          <w:marLeft w:val="0"/>
          <w:marRight w:val="0"/>
          <w:marTop w:val="0"/>
          <w:marBottom w:val="0"/>
          <w:divBdr>
            <w:top w:val="none" w:sz="0" w:space="0" w:color="auto"/>
            <w:left w:val="none" w:sz="0" w:space="0" w:color="auto"/>
            <w:bottom w:val="none" w:sz="0" w:space="0" w:color="auto"/>
            <w:right w:val="none" w:sz="0" w:space="0" w:color="auto"/>
          </w:divBdr>
        </w:div>
      </w:divsChild>
    </w:div>
    <w:div w:id="968166046">
      <w:bodyDiv w:val="1"/>
      <w:marLeft w:val="0"/>
      <w:marRight w:val="0"/>
      <w:marTop w:val="0"/>
      <w:marBottom w:val="0"/>
      <w:divBdr>
        <w:top w:val="none" w:sz="0" w:space="0" w:color="auto"/>
        <w:left w:val="none" w:sz="0" w:space="0" w:color="auto"/>
        <w:bottom w:val="none" w:sz="0" w:space="0" w:color="auto"/>
        <w:right w:val="none" w:sz="0" w:space="0" w:color="auto"/>
      </w:divBdr>
    </w:div>
    <w:div w:id="969360106">
      <w:bodyDiv w:val="1"/>
      <w:marLeft w:val="0"/>
      <w:marRight w:val="0"/>
      <w:marTop w:val="0"/>
      <w:marBottom w:val="0"/>
      <w:divBdr>
        <w:top w:val="none" w:sz="0" w:space="0" w:color="auto"/>
        <w:left w:val="none" w:sz="0" w:space="0" w:color="auto"/>
        <w:bottom w:val="none" w:sz="0" w:space="0" w:color="auto"/>
        <w:right w:val="none" w:sz="0" w:space="0" w:color="auto"/>
      </w:divBdr>
    </w:div>
    <w:div w:id="979846986">
      <w:bodyDiv w:val="1"/>
      <w:marLeft w:val="0"/>
      <w:marRight w:val="0"/>
      <w:marTop w:val="0"/>
      <w:marBottom w:val="0"/>
      <w:divBdr>
        <w:top w:val="none" w:sz="0" w:space="0" w:color="auto"/>
        <w:left w:val="none" w:sz="0" w:space="0" w:color="auto"/>
        <w:bottom w:val="none" w:sz="0" w:space="0" w:color="auto"/>
        <w:right w:val="none" w:sz="0" w:space="0" w:color="auto"/>
      </w:divBdr>
    </w:div>
    <w:div w:id="987710471">
      <w:bodyDiv w:val="1"/>
      <w:marLeft w:val="0"/>
      <w:marRight w:val="0"/>
      <w:marTop w:val="0"/>
      <w:marBottom w:val="0"/>
      <w:divBdr>
        <w:top w:val="none" w:sz="0" w:space="0" w:color="auto"/>
        <w:left w:val="none" w:sz="0" w:space="0" w:color="auto"/>
        <w:bottom w:val="none" w:sz="0" w:space="0" w:color="auto"/>
        <w:right w:val="none" w:sz="0" w:space="0" w:color="auto"/>
      </w:divBdr>
    </w:div>
    <w:div w:id="990912708">
      <w:bodyDiv w:val="1"/>
      <w:marLeft w:val="0"/>
      <w:marRight w:val="0"/>
      <w:marTop w:val="0"/>
      <w:marBottom w:val="0"/>
      <w:divBdr>
        <w:top w:val="none" w:sz="0" w:space="0" w:color="auto"/>
        <w:left w:val="none" w:sz="0" w:space="0" w:color="auto"/>
        <w:bottom w:val="none" w:sz="0" w:space="0" w:color="auto"/>
        <w:right w:val="none" w:sz="0" w:space="0" w:color="auto"/>
      </w:divBdr>
      <w:divsChild>
        <w:div w:id="1204563572">
          <w:marLeft w:val="0"/>
          <w:marRight w:val="0"/>
          <w:marTop w:val="0"/>
          <w:marBottom w:val="0"/>
          <w:divBdr>
            <w:top w:val="none" w:sz="0" w:space="0" w:color="auto"/>
            <w:left w:val="none" w:sz="0" w:space="0" w:color="auto"/>
            <w:bottom w:val="none" w:sz="0" w:space="0" w:color="auto"/>
            <w:right w:val="none" w:sz="0" w:space="0" w:color="auto"/>
          </w:divBdr>
          <w:divsChild>
            <w:div w:id="174156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28671">
      <w:bodyDiv w:val="1"/>
      <w:marLeft w:val="0"/>
      <w:marRight w:val="0"/>
      <w:marTop w:val="0"/>
      <w:marBottom w:val="0"/>
      <w:divBdr>
        <w:top w:val="none" w:sz="0" w:space="0" w:color="auto"/>
        <w:left w:val="none" w:sz="0" w:space="0" w:color="auto"/>
        <w:bottom w:val="none" w:sz="0" w:space="0" w:color="auto"/>
        <w:right w:val="none" w:sz="0" w:space="0" w:color="auto"/>
      </w:divBdr>
    </w:div>
    <w:div w:id="1006203404">
      <w:bodyDiv w:val="1"/>
      <w:marLeft w:val="0"/>
      <w:marRight w:val="0"/>
      <w:marTop w:val="0"/>
      <w:marBottom w:val="0"/>
      <w:divBdr>
        <w:top w:val="none" w:sz="0" w:space="0" w:color="auto"/>
        <w:left w:val="none" w:sz="0" w:space="0" w:color="auto"/>
        <w:bottom w:val="none" w:sz="0" w:space="0" w:color="auto"/>
        <w:right w:val="none" w:sz="0" w:space="0" w:color="auto"/>
      </w:divBdr>
      <w:divsChild>
        <w:div w:id="377975265">
          <w:marLeft w:val="0"/>
          <w:marRight w:val="0"/>
          <w:marTop w:val="0"/>
          <w:marBottom w:val="150"/>
          <w:divBdr>
            <w:top w:val="none" w:sz="0" w:space="0" w:color="auto"/>
            <w:left w:val="none" w:sz="0" w:space="0" w:color="auto"/>
            <w:bottom w:val="none" w:sz="0" w:space="0" w:color="auto"/>
            <w:right w:val="none" w:sz="0" w:space="0" w:color="auto"/>
          </w:divBdr>
          <w:divsChild>
            <w:div w:id="2008552443">
              <w:marLeft w:val="360"/>
              <w:marRight w:val="0"/>
              <w:marTop w:val="0"/>
              <w:marBottom w:val="0"/>
              <w:divBdr>
                <w:top w:val="none" w:sz="0" w:space="0" w:color="auto"/>
                <w:left w:val="none" w:sz="0" w:space="0" w:color="auto"/>
                <w:bottom w:val="none" w:sz="0" w:space="0" w:color="auto"/>
                <w:right w:val="none" w:sz="0" w:space="0" w:color="auto"/>
              </w:divBdr>
              <w:divsChild>
                <w:div w:id="14335878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860549">
      <w:bodyDiv w:val="1"/>
      <w:marLeft w:val="0"/>
      <w:marRight w:val="0"/>
      <w:marTop w:val="0"/>
      <w:marBottom w:val="0"/>
      <w:divBdr>
        <w:top w:val="none" w:sz="0" w:space="0" w:color="auto"/>
        <w:left w:val="none" w:sz="0" w:space="0" w:color="auto"/>
        <w:bottom w:val="none" w:sz="0" w:space="0" w:color="auto"/>
        <w:right w:val="none" w:sz="0" w:space="0" w:color="auto"/>
      </w:divBdr>
    </w:div>
    <w:div w:id="1018242230">
      <w:bodyDiv w:val="1"/>
      <w:marLeft w:val="0"/>
      <w:marRight w:val="0"/>
      <w:marTop w:val="0"/>
      <w:marBottom w:val="0"/>
      <w:divBdr>
        <w:top w:val="none" w:sz="0" w:space="0" w:color="auto"/>
        <w:left w:val="none" w:sz="0" w:space="0" w:color="auto"/>
        <w:bottom w:val="none" w:sz="0" w:space="0" w:color="auto"/>
        <w:right w:val="none" w:sz="0" w:space="0" w:color="auto"/>
      </w:divBdr>
    </w:div>
    <w:div w:id="1022584949">
      <w:bodyDiv w:val="1"/>
      <w:marLeft w:val="0"/>
      <w:marRight w:val="0"/>
      <w:marTop w:val="0"/>
      <w:marBottom w:val="0"/>
      <w:divBdr>
        <w:top w:val="none" w:sz="0" w:space="0" w:color="auto"/>
        <w:left w:val="none" w:sz="0" w:space="0" w:color="auto"/>
        <w:bottom w:val="none" w:sz="0" w:space="0" w:color="auto"/>
        <w:right w:val="none" w:sz="0" w:space="0" w:color="auto"/>
      </w:divBdr>
    </w:div>
    <w:div w:id="1041588696">
      <w:bodyDiv w:val="1"/>
      <w:marLeft w:val="0"/>
      <w:marRight w:val="0"/>
      <w:marTop w:val="0"/>
      <w:marBottom w:val="0"/>
      <w:divBdr>
        <w:top w:val="none" w:sz="0" w:space="0" w:color="auto"/>
        <w:left w:val="none" w:sz="0" w:space="0" w:color="auto"/>
        <w:bottom w:val="none" w:sz="0" w:space="0" w:color="auto"/>
        <w:right w:val="none" w:sz="0" w:space="0" w:color="auto"/>
      </w:divBdr>
    </w:div>
    <w:div w:id="1049374907">
      <w:bodyDiv w:val="1"/>
      <w:marLeft w:val="75"/>
      <w:marRight w:val="75"/>
      <w:marTop w:val="150"/>
      <w:marBottom w:val="0"/>
      <w:divBdr>
        <w:top w:val="none" w:sz="0" w:space="0" w:color="auto"/>
        <w:left w:val="none" w:sz="0" w:space="0" w:color="auto"/>
        <w:bottom w:val="none" w:sz="0" w:space="0" w:color="auto"/>
        <w:right w:val="none" w:sz="0" w:space="0" w:color="auto"/>
      </w:divBdr>
      <w:divsChild>
        <w:div w:id="1091858134">
          <w:marLeft w:val="360"/>
          <w:marRight w:val="0"/>
          <w:marTop w:val="0"/>
          <w:marBottom w:val="0"/>
          <w:divBdr>
            <w:top w:val="none" w:sz="0" w:space="0" w:color="auto"/>
            <w:left w:val="none" w:sz="0" w:space="0" w:color="auto"/>
            <w:bottom w:val="none" w:sz="0" w:space="0" w:color="auto"/>
            <w:right w:val="none" w:sz="0" w:space="0" w:color="auto"/>
          </w:divBdr>
        </w:div>
      </w:divsChild>
    </w:div>
    <w:div w:id="1064180098">
      <w:bodyDiv w:val="1"/>
      <w:marLeft w:val="0"/>
      <w:marRight w:val="0"/>
      <w:marTop w:val="0"/>
      <w:marBottom w:val="0"/>
      <w:divBdr>
        <w:top w:val="none" w:sz="0" w:space="0" w:color="auto"/>
        <w:left w:val="none" w:sz="0" w:space="0" w:color="auto"/>
        <w:bottom w:val="none" w:sz="0" w:space="0" w:color="auto"/>
        <w:right w:val="none" w:sz="0" w:space="0" w:color="auto"/>
      </w:divBdr>
    </w:div>
    <w:div w:id="1072922460">
      <w:bodyDiv w:val="1"/>
      <w:marLeft w:val="0"/>
      <w:marRight w:val="0"/>
      <w:marTop w:val="0"/>
      <w:marBottom w:val="0"/>
      <w:divBdr>
        <w:top w:val="none" w:sz="0" w:space="0" w:color="auto"/>
        <w:left w:val="none" w:sz="0" w:space="0" w:color="auto"/>
        <w:bottom w:val="none" w:sz="0" w:space="0" w:color="auto"/>
        <w:right w:val="none" w:sz="0" w:space="0" w:color="auto"/>
      </w:divBdr>
      <w:divsChild>
        <w:div w:id="1196389846">
          <w:marLeft w:val="0"/>
          <w:marRight w:val="0"/>
          <w:marTop w:val="0"/>
          <w:marBottom w:val="0"/>
          <w:divBdr>
            <w:top w:val="none" w:sz="0" w:space="0" w:color="auto"/>
            <w:left w:val="none" w:sz="0" w:space="0" w:color="auto"/>
            <w:bottom w:val="none" w:sz="0" w:space="0" w:color="auto"/>
            <w:right w:val="none" w:sz="0" w:space="0" w:color="auto"/>
          </w:divBdr>
          <w:divsChild>
            <w:div w:id="873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1480">
      <w:bodyDiv w:val="1"/>
      <w:marLeft w:val="0"/>
      <w:marRight w:val="0"/>
      <w:marTop w:val="0"/>
      <w:marBottom w:val="0"/>
      <w:divBdr>
        <w:top w:val="none" w:sz="0" w:space="0" w:color="auto"/>
        <w:left w:val="none" w:sz="0" w:space="0" w:color="auto"/>
        <w:bottom w:val="none" w:sz="0" w:space="0" w:color="auto"/>
        <w:right w:val="none" w:sz="0" w:space="0" w:color="auto"/>
      </w:divBdr>
      <w:divsChild>
        <w:div w:id="534856533">
          <w:marLeft w:val="0"/>
          <w:marRight w:val="0"/>
          <w:marTop w:val="0"/>
          <w:marBottom w:val="0"/>
          <w:divBdr>
            <w:top w:val="none" w:sz="0" w:space="0" w:color="auto"/>
            <w:left w:val="none" w:sz="0" w:space="0" w:color="auto"/>
            <w:bottom w:val="none" w:sz="0" w:space="0" w:color="auto"/>
            <w:right w:val="none" w:sz="0" w:space="0" w:color="auto"/>
          </w:divBdr>
          <w:divsChild>
            <w:div w:id="18905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46649">
      <w:bodyDiv w:val="1"/>
      <w:marLeft w:val="0"/>
      <w:marRight w:val="0"/>
      <w:marTop w:val="0"/>
      <w:marBottom w:val="0"/>
      <w:divBdr>
        <w:top w:val="none" w:sz="0" w:space="0" w:color="auto"/>
        <w:left w:val="none" w:sz="0" w:space="0" w:color="auto"/>
        <w:bottom w:val="none" w:sz="0" w:space="0" w:color="auto"/>
        <w:right w:val="none" w:sz="0" w:space="0" w:color="auto"/>
      </w:divBdr>
      <w:divsChild>
        <w:div w:id="2068138866">
          <w:marLeft w:val="0"/>
          <w:marRight w:val="0"/>
          <w:marTop w:val="0"/>
          <w:marBottom w:val="150"/>
          <w:divBdr>
            <w:top w:val="none" w:sz="0" w:space="0" w:color="auto"/>
            <w:left w:val="none" w:sz="0" w:space="0" w:color="auto"/>
            <w:bottom w:val="none" w:sz="0" w:space="0" w:color="auto"/>
            <w:right w:val="none" w:sz="0" w:space="0" w:color="auto"/>
          </w:divBdr>
          <w:divsChild>
            <w:div w:id="362902849">
              <w:marLeft w:val="360"/>
              <w:marRight w:val="0"/>
              <w:marTop w:val="0"/>
              <w:marBottom w:val="0"/>
              <w:divBdr>
                <w:top w:val="none" w:sz="0" w:space="0" w:color="auto"/>
                <w:left w:val="none" w:sz="0" w:space="0" w:color="auto"/>
                <w:bottom w:val="none" w:sz="0" w:space="0" w:color="auto"/>
                <w:right w:val="none" w:sz="0" w:space="0" w:color="auto"/>
              </w:divBdr>
              <w:divsChild>
                <w:div w:id="39801985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988488">
      <w:bodyDiv w:val="1"/>
      <w:marLeft w:val="0"/>
      <w:marRight w:val="0"/>
      <w:marTop w:val="0"/>
      <w:marBottom w:val="0"/>
      <w:divBdr>
        <w:top w:val="none" w:sz="0" w:space="0" w:color="auto"/>
        <w:left w:val="none" w:sz="0" w:space="0" w:color="auto"/>
        <w:bottom w:val="none" w:sz="0" w:space="0" w:color="auto"/>
        <w:right w:val="none" w:sz="0" w:space="0" w:color="auto"/>
      </w:divBdr>
      <w:divsChild>
        <w:div w:id="1443769992">
          <w:marLeft w:val="0"/>
          <w:marRight w:val="0"/>
          <w:marTop w:val="0"/>
          <w:marBottom w:val="0"/>
          <w:divBdr>
            <w:top w:val="none" w:sz="0" w:space="0" w:color="auto"/>
            <w:left w:val="none" w:sz="0" w:space="0" w:color="auto"/>
            <w:bottom w:val="none" w:sz="0" w:space="0" w:color="auto"/>
            <w:right w:val="none" w:sz="0" w:space="0" w:color="auto"/>
          </w:divBdr>
        </w:div>
      </w:divsChild>
    </w:div>
    <w:div w:id="1088967696">
      <w:bodyDiv w:val="1"/>
      <w:marLeft w:val="0"/>
      <w:marRight w:val="0"/>
      <w:marTop w:val="0"/>
      <w:marBottom w:val="0"/>
      <w:divBdr>
        <w:top w:val="none" w:sz="0" w:space="0" w:color="auto"/>
        <w:left w:val="none" w:sz="0" w:space="0" w:color="auto"/>
        <w:bottom w:val="none" w:sz="0" w:space="0" w:color="auto"/>
        <w:right w:val="none" w:sz="0" w:space="0" w:color="auto"/>
      </w:divBdr>
    </w:div>
    <w:div w:id="1090278623">
      <w:bodyDiv w:val="1"/>
      <w:marLeft w:val="0"/>
      <w:marRight w:val="0"/>
      <w:marTop w:val="0"/>
      <w:marBottom w:val="0"/>
      <w:divBdr>
        <w:top w:val="none" w:sz="0" w:space="0" w:color="auto"/>
        <w:left w:val="none" w:sz="0" w:space="0" w:color="auto"/>
        <w:bottom w:val="none" w:sz="0" w:space="0" w:color="auto"/>
        <w:right w:val="none" w:sz="0" w:space="0" w:color="auto"/>
      </w:divBdr>
    </w:div>
    <w:div w:id="1093429163">
      <w:bodyDiv w:val="1"/>
      <w:marLeft w:val="0"/>
      <w:marRight w:val="0"/>
      <w:marTop w:val="0"/>
      <w:marBottom w:val="0"/>
      <w:divBdr>
        <w:top w:val="none" w:sz="0" w:space="0" w:color="auto"/>
        <w:left w:val="none" w:sz="0" w:space="0" w:color="auto"/>
        <w:bottom w:val="none" w:sz="0" w:space="0" w:color="auto"/>
        <w:right w:val="none" w:sz="0" w:space="0" w:color="auto"/>
      </w:divBdr>
      <w:divsChild>
        <w:div w:id="1929925396">
          <w:marLeft w:val="0"/>
          <w:marRight w:val="0"/>
          <w:marTop w:val="0"/>
          <w:marBottom w:val="0"/>
          <w:divBdr>
            <w:top w:val="none" w:sz="0" w:space="0" w:color="auto"/>
            <w:left w:val="none" w:sz="0" w:space="0" w:color="auto"/>
            <w:bottom w:val="none" w:sz="0" w:space="0" w:color="auto"/>
            <w:right w:val="none" w:sz="0" w:space="0" w:color="auto"/>
          </w:divBdr>
          <w:divsChild>
            <w:div w:id="27154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135213">
      <w:bodyDiv w:val="1"/>
      <w:marLeft w:val="0"/>
      <w:marRight w:val="0"/>
      <w:marTop w:val="0"/>
      <w:marBottom w:val="0"/>
      <w:divBdr>
        <w:top w:val="none" w:sz="0" w:space="0" w:color="auto"/>
        <w:left w:val="none" w:sz="0" w:space="0" w:color="auto"/>
        <w:bottom w:val="none" w:sz="0" w:space="0" w:color="auto"/>
        <w:right w:val="none" w:sz="0" w:space="0" w:color="auto"/>
      </w:divBdr>
      <w:divsChild>
        <w:div w:id="198707152">
          <w:marLeft w:val="0"/>
          <w:marRight w:val="0"/>
          <w:marTop w:val="0"/>
          <w:marBottom w:val="0"/>
          <w:divBdr>
            <w:top w:val="none" w:sz="0" w:space="0" w:color="auto"/>
            <w:left w:val="none" w:sz="0" w:space="0" w:color="auto"/>
            <w:bottom w:val="none" w:sz="0" w:space="0" w:color="auto"/>
            <w:right w:val="none" w:sz="0" w:space="0" w:color="auto"/>
          </w:divBdr>
        </w:div>
      </w:divsChild>
    </w:div>
    <w:div w:id="1102144646">
      <w:bodyDiv w:val="1"/>
      <w:marLeft w:val="0"/>
      <w:marRight w:val="0"/>
      <w:marTop w:val="0"/>
      <w:marBottom w:val="0"/>
      <w:divBdr>
        <w:top w:val="none" w:sz="0" w:space="0" w:color="auto"/>
        <w:left w:val="none" w:sz="0" w:space="0" w:color="auto"/>
        <w:bottom w:val="none" w:sz="0" w:space="0" w:color="auto"/>
        <w:right w:val="none" w:sz="0" w:space="0" w:color="auto"/>
      </w:divBdr>
    </w:div>
    <w:div w:id="1102727274">
      <w:bodyDiv w:val="1"/>
      <w:marLeft w:val="0"/>
      <w:marRight w:val="0"/>
      <w:marTop w:val="0"/>
      <w:marBottom w:val="0"/>
      <w:divBdr>
        <w:top w:val="none" w:sz="0" w:space="0" w:color="auto"/>
        <w:left w:val="none" w:sz="0" w:space="0" w:color="auto"/>
        <w:bottom w:val="none" w:sz="0" w:space="0" w:color="auto"/>
        <w:right w:val="none" w:sz="0" w:space="0" w:color="auto"/>
      </w:divBdr>
      <w:divsChild>
        <w:div w:id="2087610333">
          <w:marLeft w:val="0"/>
          <w:marRight w:val="0"/>
          <w:marTop w:val="0"/>
          <w:marBottom w:val="0"/>
          <w:divBdr>
            <w:top w:val="none" w:sz="0" w:space="0" w:color="auto"/>
            <w:left w:val="none" w:sz="0" w:space="0" w:color="auto"/>
            <w:bottom w:val="none" w:sz="0" w:space="0" w:color="auto"/>
            <w:right w:val="none" w:sz="0" w:space="0" w:color="auto"/>
          </w:divBdr>
        </w:div>
      </w:divsChild>
    </w:div>
    <w:div w:id="1109011178">
      <w:bodyDiv w:val="1"/>
      <w:marLeft w:val="0"/>
      <w:marRight w:val="0"/>
      <w:marTop w:val="0"/>
      <w:marBottom w:val="0"/>
      <w:divBdr>
        <w:top w:val="none" w:sz="0" w:space="0" w:color="auto"/>
        <w:left w:val="none" w:sz="0" w:space="0" w:color="auto"/>
        <w:bottom w:val="none" w:sz="0" w:space="0" w:color="auto"/>
        <w:right w:val="none" w:sz="0" w:space="0" w:color="auto"/>
      </w:divBdr>
    </w:div>
    <w:div w:id="1130511508">
      <w:bodyDiv w:val="1"/>
      <w:marLeft w:val="0"/>
      <w:marRight w:val="0"/>
      <w:marTop w:val="0"/>
      <w:marBottom w:val="0"/>
      <w:divBdr>
        <w:top w:val="none" w:sz="0" w:space="0" w:color="auto"/>
        <w:left w:val="none" w:sz="0" w:space="0" w:color="auto"/>
        <w:bottom w:val="none" w:sz="0" w:space="0" w:color="auto"/>
        <w:right w:val="none" w:sz="0" w:space="0" w:color="auto"/>
      </w:divBdr>
    </w:div>
    <w:div w:id="1132405124">
      <w:bodyDiv w:val="1"/>
      <w:marLeft w:val="0"/>
      <w:marRight w:val="0"/>
      <w:marTop w:val="0"/>
      <w:marBottom w:val="0"/>
      <w:divBdr>
        <w:top w:val="none" w:sz="0" w:space="0" w:color="auto"/>
        <w:left w:val="none" w:sz="0" w:space="0" w:color="auto"/>
        <w:bottom w:val="none" w:sz="0" w:space="0" w:color="auto"/>
        <w:right w:val="none" w:sz="0" w:space="0" w:color="auto"/>
      </w:divBdr>
      <w:divsChild>
        <w:div w:id="2146778124">
          <w:marLeft w:val="0"/>
          <w:marRight w:val="0"/>
          <w:marTop w:val="0"/>
          <w:marBottom w:val="0"/>
          <w:divBdr>
            <w:top w:val="none" w:sz="0" w:space="0" w:color="auto"/>
            <w:left w:val="none" w:sz="0" w:space="0" w:color="auto"/>
            <w:bottom w:val="none" w:sz="0" w:space="0" w:color="auto"/>
            <w:right w:val="none" w:sz="0" w:space="0" w:color="auto"/>
          </w:divBdr>
          <w:divsChild>
            <w:div w:id="7170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32476">
      <w:bodyDiv w:val="1"/>
      <w:marLeft w:val="0"/>
      <w:marRight w:val="0"/>
      <w:marTop w:val="0"/>
      <w:marBottom w:val="0"/>
      <w:divBdr>
        <w:top w:val="none" w:sz="0" w:space="0" w:color="auto"/>
        <w:left w:val="none" w:sz="0" w:space="0" w:color="auto"/>
        <w:bottom w:val="none" w:sz="0" w:space="0" w:color="auto"/>
        <w:right w:val="none" w:sz="0" w:space="0" w:color="auto"/>
      </w:divBdr>
    </w:div>
    <w:div w:id="1162351289">
      <w:bodyDiv w:val="1"/>
      <w:marLeft w:val="0"/>
      <w:marRight w:val="0"/>
      <w:marTop w:val="0"/>
      <w:marBottom w:val="0"/>
      <w:divBdr>
        <w:top w:val="none" w:sz="0" w:space="0" w:color="auto"/>
        <w:left w:val="none" w:sz="0" w:space="0" w:color="auto"/>
        <w:bottom w:val="none" w:sz="0" w:space="0" w:color="auto"/>
        <w:right w:val="none" w:sz="0" w:space="0" w:color="auto"/>
      </w:divBdr>
    </w:div>
    <w:div w:id="1163621206">
      <w:bodyDiv w:val="1"/>
      <w:marLeft w:val="0"/>
      <w:marRight w:val="0"/>
      <w:marTop w:val="0"/>
      <w:marBottom w:val="0"/>
      <w:divBdr>
        <w:top w:val="none" w:sz="0" w:space="0" w:color="auto"/>
        <w:left w:val="none" w:sz="0" w:space="0" w:color="auto"/>
        <w:bottom w:val="none" w:sz="0" w:space="0" w:color="auto"/>
        <w:right w:val="none" w:sz="0" w:space="0" w:color="auto"/>
      </w:divBdr>
    </w:div>
    <w:div w:id="1164593160">
      <w:bodyDiv w:val="1"/>
      <w:marLeft w:val="0"/>
      <w:marRight w:val="0"/>
      <w:marTop w:val="0"/>
      <w:marBottom w:val="0"/>
      <w:divBdr>
        <w:top w:val="none" w:sz="0" w:space="0" w:color="auto"/>
        <w:left w:val="none" w:sz="0" w:space="0" w:color="auto"/>
        <w:bottom w:val="none" w:sz="0" w:space="0" w:color="auto"/>
        <w:right w:val="none" w:sz="0" w:space="0" w:color="auto"/>
      </w:divBdr>
    </w:div>
    <w:div w:id="1176729812">
      <w:bodyDiv w:val="1"/>
      <w:marLeft w:val="0"/>
      <w:marRight w:val="0"/>
      <w:marTop w:val="0"/>
      <w:marBottom w:val="0"/>
      <w:divBdr>
        <w:top w:val="none" w:sz="0" w:space="0" w:color="auto"/>
        <w:left w:val="none" w:sz="0" w:space="0" w:color="auto"/>
        <w:bottom w:val="none" w:sz="0" w:space="0" w:color="auto"/>
        <w:right w:val="none" w:sz="0" w:space="0" w:color="auto"/>
      </w:divBdr>
      <w:divsChild>
        <w:div w:id="2078279929">
          <w:marLeft w:val="0"/>
          <w:marRight w:val="0"/>
          <w:marTop w:val="0"/>
          <w:marBottom w:val="0"/>
          <w:divBdr>
            <w:top w:val="none" w:sz="0" w:space="0" w:color="auto"/>
            <w:left w:val="none" w:sz="0" w:space="0" w:color="auto"/>
            <w:bottom w:val="none" w:sz="0" w:space="0" w:color="auto"/>
            <w:right w:val="none" w:sz="0" w:space="0" w:color="auto"/>
          </w:divBdr>
          <w:divsChild>
            <w:div w:id="183402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027949">
      <w:bodyDiv w:val="1"/>
      <w:marLeft w:val="0"/>
      <w:marRight w:val="0"/>
      <w:marTop w:val="0"/>
      <w:marBottom w:val="0"/>
      <w:divBdr>
        <w:top w:val="none" w:sz="0" w:space="0" w:color="auto"/>
        <w:left w:val="none" w:sz="0" w:space="0" w:color="auto"/>
        <w:bottom w:val="none" w:sz="0" w:space="0" w:color="auto"/>
        <w:right w:val="none" w:sz="0" w:space="0" w:color="auto"/>
      </w:divBdr>
      <w:divsChild>
        <w:div w:id="627587041">
          <w:marLeft w:val="0"/>
          <w:marRight w:val="0"/>
          <w:marTop w:val="0"/>
          <w:marBottom w:val="0"/>
          <w:divBdr>
            <w:top w:val="none" w:sz="0" w:space="0" w:color="auto"/>
            <w:left w:val="none" w:sz="0" w:space="0" w:color="auto"/>
            <w:bottom w:val="none" w:sz="0" w:space="0" w:color="auto"/>
            <w:right w:val="none" w:sz="0" w:space="0" w:color="auto"/>
          </w:divBdr>
        </w:div>
      </w:divsChild>
    </w:div>
    <w:div w:id="1190952894">
      <w:bodyDiv w:val="1"/>
      <w:marLeft w:val="0"/>
      <w:marRight w:val="0"/>
      <w:marTop w:val="0"/>
      <w:marBottom w:val="0"/>
      <w:divBdr>
        <w:top w:val="none" w:sz="0" w:space="0" w:color="auto"/>
        <w:left w:val="none" w:sz="0" w:space="0" w:color="auto"/>
        <w:bottom w:val="none" w:sz="0" w:space="0" w:color="auto"/>
        <w:right w:val="none" w:sz="0" w:space="0" w:color="auto"/>
      </w:divBdr>
    </w:div>
    <w:div w:id="1213273850">
      <w:bodyDiv w:val="1"/>
      <w:marLeft w:val="0"/>
      <w:marRight w:val="0"/>
      <w:marTop w:val="0"/>
      <w:marBottom w:val="0"/>
      <w:divBdr>
        <w:top w:val="none" w:sz="0" w:space="0" w:color="auto"/>
        <w:left w:val="none" w:sz="0" w:space="0" w:color="auto"/>
        <w:bottom w:val="none" w:sz="0" w:space="0" w:color="auto"/>
        <w:right w:val="none" w:sz="0" w:space="0" w:color="auto"/>
      </w:divBdr>
    </w:div>
    <w:div w:id="1220826881">
      <w:bodyDiv w:val="1"/>
      <w:marLeft w:val="0"/>
      <w:marRight w:val="0"/>
      <w:marTop w:val="0"/>
      <w:marBottom w:val="0"/>
      <w:divBdr>
        <w:top w:val="none" w:sz="0" w:space="0" w:color="auto"/>
        <w:left w:val="none" w:sz="0" w:space="0" w:color="auto"/>
        <w:bottom w:val="none" w:sz="0" w:space="0" w:color="auto"/>
        <w:right w:val="none" w:sz="0" w:space="0" w:color="auto"/>
      </w:divBdr>
      <w:divsChild>
        <w:div w:id="2028750815">
          <w:marLeft w:val="0"/>
          <w:marRight w:val="0"/>
          <w:marTop w:val="0"/>
          <w:marBottom w:val="0"/>
          <w:divBdr>
            <w:top w:val="none" w:sz="0" w:space="0" w:color="auto"/>
            <w:left w:val="none" w:sz="0" w:space="0" w:color="auto"/>
            <w:bottom w:val="none" w:sz="0" w:space="0" w:color="auto"/>
            <w:right w:val="none" w:sz="0" w:space="0" w:color="auto"/>
          </w:divBdr>
          <w:divsChild>
            <w:div w:id="831675351">
              <w:marLeft w:val="0"/>
              <w:marRight w:val="0"/>
              <w:marTop w:val="0"/>
              <w:marBottom w:val="100"/>
              <w:divBdr>
                <w:top w:val="none" w:sz="0" w:space="0" w:color="auto"/>
                <w:left w:val="none" w:sz="0" w:space="0" w:color="auto"/>
                <w:bottom w:val="none" w:sz="0" w:space="0" w:color="auto"/>
                <w:right w:val="none" w:sz="0" w:space="0" w:color="auto"/>
              </w:divBdr>
              <w:divsChild>
                <w:div w:id="849223810">
                  <w:marLeft w:val="0"/>
                  <w:marRight w:val="150"/>
                  <w:marTop w:val="225"/>
                  <w:marBottom w:val="0"/>
                  <w:divBdr>
                    <w:top w:val="none" w:sz="0" w:space="0" w:color="auto"/>
                    <w:left w:val="none" w:sz="0" w:space="0" w:color="auto"/>
                    <w:bottom w:val="none" w:sz="0" w:space="0" w:color="auto"/>
                    <w:right w:val="none" w:sz="0" w:space="0" w:color="auto"/>
                  </w:divBdr>
                  <w:divsChild>
                    <w:div w:id="1957832204">
                      <w:marLeft w:val="0"/>
                      <w:marRight w:val="0"/>
                      <w:marTop w:val="0"/>
                      <w:marBottom w:val="0"/>
                      <w:divBdr>
                        <w:top w:val="none" w:sz="0" w:space="0" w:color="auto"/>
                        <w:left w:val="none" w:sz="0" w:space="0" w:color="auto"/>
                        <w:bottom w:val="none" w:sz="0" w:space="0" w:color="auto"/>
                        <w:right w:val="none" w:sz="0" w:space="0" w:color="auto"/>
                      </w:divBdr>
                      <w:divsChild>
                        <w:div w:id="139508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521201">
      <w:bodyDiv w:val="1"/>
      <w:marLeft w:val="0"/>
      <w:marRight w:val="0"/>
      <w:marTop w:val="0"/>
      <w:marBottom w:val="0"/>
      <w:divBdr>
        <w:top w:val="none" w:sz="0" w:space="0" w:color="auto"/>
        <w:left w:val="none" w:sz="0" w:space="0" w:color="auto"/>
        <w:bottom w:val="none" w:sz="0" w:space="0" w:color="auto"/>
        <w:right w:val="none" w:sz="0" w:space="0" w:color="auto"/>
      </w:divBdr>
      <w:divsChild>
        <w:div w:id="1260287019">
          <w:marLeft w:val="0"/>
          <w:marRight w:val="0"/>
          <w:marTop w:val="0"/>
          <w:marBottom w:val="0"/>
          <w:divBdr>
            <w:top w:val="none" w:sz="0" w:space="0" w:color="auto"/>
            <w:left w:val="none" w:sz="0" w:space="0" w:color="auto"/>
            <w:bottom w:val="none" w:sz="0" w:space="0" w:color="auto"/>
            <w:right w:val="none" w:sz="0" w:space="0" w:color="auto"/>
          </w:divBdr>
        </w:div>
      </w:divsChild>
    </w:div>
    <w:div w:id="1230657185">
      <w:bodyDiv w:val="1"/>
      <w:marLeft w:val="0"/>
      <w:marRight w:val="0"/>
      <w:marTop w:val="0"/>
      <w:marBottom w:val="0"/>
      <w:divBdr>
        <w:top w:val="none" w:sz="0" w:space="0" w:color="auto"/>
        <w:left w:val="none" w:sz="0" w:space="0" w:color="auto"/>
        <w:bottom w:val="none" w:sz="0" w:space="0" w:color="auto"/>
        <w:right w:val="none" w:sz="0" w:space="0" w:color="auto"/>
      </w:divBdr>
    </w:div>
    <w:div w:id="1232619325">
      <w:bodyDiv w:val="1"/>
      <w:marLeft w:val="0"/>
      <w:marRight w:val="0"/>
      <w:marTop w:val="0"/>
      <w:marBottom w:val="0"/>
      <w:divBdr>
        <w:top w:val="none" w:sz="0" w:space="0" w:color="auto"/>
        <w:left w:val="none" w:sz="0" w:space="0" w:color="auto"/>
        <w:bottom w:val="none" w:sz="0" w:space="0" w:color="auto"/>
        <w:right w:val="none" w:sz="0" w:space="0" w:color="auto"/>
      </w:divBdr>
    </w:div>
    <w:div w:id="1266305242">
      <w:bodyDiv w:val="1"/>
      <w:marLeft w:val="0"/>
      <w:marRight w:val="0"/>
      <w:marTop w:val="0"/>
      <w:marBottom w:val="0"/>
      <w:divBdr>
        <w:top w:val="none" w:sz="0" w:space="0" w:color="auto"/>
        <w:left w:val="none" w:sz="0" w:space="0" w:color="auto"/>
        <w:bottom w:val="none" w:sz="0" w:space="0" w:color="auto"/>
        <w:right w:val="none" w:sz="0" w:space="0" w:color="auto"/>
      </w:divBdr>
    </w:div>
    <w:div w:id="1331787831">
      <w:bodyDiv w:val="1"/>
      <w:marLeft w:val="0"/>
      <w:marRight w:val="0"/>
      <w:marTop w:val="0"/>
      <w:marBottom w:val="0"/>
      <w:divBdr>
        <w:top w:val="none" w:sz="0" w:space="0" w:color="auto"/>
        <w:left w:val="none" w:sz="0" w:space="0" w:color="auto"/>
        <w:bottom w:val="none" w:sz="0" w:space="0" w:color="auto"/>
        <w:right w:val="none" w:sz="0" w:space="0" w:color="auto"/>
      </w:divBdr>
      <w:divsChild>
        <w:div w:id="1931155790">
          <w:marLeft w:val="0"/>
          <w:marRight w:val="0"/>
          <w:marTop w:val="0"/>
          <w:marBottom w:val="0"/>
          <w:divBdr>
            <w:top w:val="none" w:sz="0" w:space="0" w:color="auto"/>
            <w:left w:val="none" w:sz="0" w:space="0" w:color="auto"/>
            <w:bottom w:val="none" w:sz="0" w:space="0" w:color="auto"/>
            <w:right w:val="none" w:sz="0" w:space="0" w:color="auto"/>
          </w:divBdr>
          <w:divsChild>
            <w:div w:id="1093890249">
              <w:marLeft w:val="0"/>
              <w:marRight w:val="0"/>
              <w:marTop w:val="0"/>
              <w:marBottom w:val="0"/>
              <w:divBdr>
                <w:top w:val="none" w:sz="0" w:space="0" w:color="auto"/>
                <w:left w:val="none" w:sz="0" w:space="0" w:color="auto"/>
                <w:bottom w:val="none" w:sz="0" w:space="0" w:color="auto"/>
                <w:right w:val="none" w:sz="0" w:space="0" w:color="auto"/>
              </w:divBdr>
              <w:divsChild>
                <w:div w:id="473526318">
                  <w:marLeft w:val="0"/>
                  <w:marRight w:val="0"/>
                  <w:marTop w:val="0"/>
                  <w:marBottom w:val="0"/>
                  <w:divBdr>
                    <w:top w:val="none" w:sz="0" w:space="0" w:color="auto"/>
                    <w:left w:val="none" w:sz="0" w:space="0" w:color="auto"/>
                    <w:bottom w:val="none" w:sz="0" w:space="0" w:color="auto"/>
                    <w:right w:val="none" w:sz="0" w:space="0" w:color="auto"/>
                  </w:divBdr>
                  <w:divsChild>
                    <w:div w:id="839850784">
                      <w:marLeft w:val="0"/>
                      <w:marRight w:val="0"/>
                      <w:marTop w:val="0"/>
                      <w:marBottom w:val="0"/>
                      <w:divBdr>
                        <w:top w:val="none" w:sz="0" w:space="0" w:color="auto"/>
                        <w:left w:val="none" w:sz="0" w:space="0" w:color="auto"/>
                        <w:bottom w:val="none" w:sz="0" w:space="0" w:color="auto"/>
                        <w:right w:val="none" w:sz="0" w:space="0" w:color="auto"/>
                      </w:divBdr>
                      <w:divsChild>
                        <w:div w:id="1981378025">
                          <w:marLeft w:val="0"/>
                          <w:marRight w:val="0"/>
                          <w:marTop w:val="0"/>
                          <w:marBottom w:val="0"/>
                          <w:divBdr>
                            <w:top w:val="none" w:sz="0" w:space="0" w:color="auto"/>
                            <w:left w:val="none" w:sz="0" w:space="0" w:color="auto"/>
                            <w:bottom w:val="none" w:sz="0" w:space="0" w:color="auto"/>
                            <w:right w:val="none" w:sz="0" w:space="0" w:color="auto"/>
                          </w:divBdr>
                          <w:divsChild>
                            <w:div w:id="203904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7805283">
      <w:bodyDiv w:val="1"/>
      <w:marLeft w:val="0"/>
      <w:marRight w:val="0"/>
      <w:marTop w:val="0"/>
      <w:marBottom w:val="0"/>
      <w:divBdr>
        <w:top w:val="none" w:sz="0" w:space="0" w:color="auto"/>
        <w:left w:val="none" w:sz="0" w:space="0" w:color="auto"/>
        <w:bottom w:val="none" w:sz="0" w:space="0" w:color="auto"/>
        <w:right w:val="none" w:sz="0" w:space="0" w:color="auto"/>
      </w:divBdr>
      <w:divsChild>
        <w:div w:id="674456955">
          <w:marLeft w:val="0"/>
          <w:marRight w:val="0"/>
          <w:marTop w:val="0"/>
          <w:marBottom w:val="0"/>
          <w:divBdr>
            <w:top w:val="none" w:sz="0" w:space="0" w:color="auto"/>
            <w:left w:val="none" w:sz="0" w:space="0" w:color="auto"/>
            <w:bottom w:val="none" w:sz="0" w:space="0" w:color="auto"/>
            <w:right w:val="none" w:sz="0" w:space="0" w:color="auto"/>
          </w:divBdr>
          <w:divsChild>
            <w:div w:id="85827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705680">
      <w:bodyDiv w:val="1"/>
      <w:marLeft w:val="0"/>
      <w:marRight w:val="0"/>
      <w:marTop w:val="0"/>
      <w:marBottom w:val="0"/>
      <w:divBdr>
        <w:top w:val="none" w:sz="0" w:space="0" w:color="auto"/>
        <w:left w:val="none" w:sz="0" w:space="0" w:color="auto"/>
        <w:bottom w:val="none" w:sz="0" w:space="0" w:color="auto"/>
        <w:right w:val="none" w:sz="0" w:space="0" w:color="auto"/>
      </w:divBdr>
    </w:div>
    <w:div w:id="1382972390">
      <w:bodyDiv w:val="1"/>
      <w:marLeft w:val="0"/>
      <w:marRight w:val="0"/>
      <w:marTop w:val="0"/>
      <w:marBottom w:val="0"/>
      <w:divBdr>
        <w:top w:val="none" w:sz="0" w:space="0" w:color="auto"/>
        <w:left w:val="none" w:sz="0" w:space="0" w:color="auto"/>
        <w:bottom w:val="none" w:sz="0" w:space="0" w:color="auto"/>
        <w:right w:val="none" w:sz="0" w:space="0" w:color="auto"/>
      </w:divBdr>
    </w:div>
    <w:div w:id="1383603427">
      <w:bodyDiv w:val="1"/>
      <w:marLeft w:val="0"/>
      <w:marRight w:val="0"/>
      <w:marTop w:val="0"/>
      <w:marBottom w:val="0"/>
      <w:divBdr>
        <w:top w:val="none" w:sz="0" w:space="0" w:color="auto"/>
        <w:left w:val="none" w:sz="0" w:space="0" w:color="auto"/>
        <w:bottom w:val="none" w:sz="0" w:space="0" w:color="auto"/>
        <w:right w:val="none" w:sz="0" w:space="0" w:color="auto"/>
      </w:divBdr>
    </w:div>
    <w:div w:id="1385522978">
      <w:bodyDiv w:val="1"/>
      <w:marLeft w:val="0"/>
      <w:marRight w:val="0"/>
      <w:marTop w:val="0"/>
      <w:marBottom w:val="0"/>
      <w:divBdr>
        <w:top w:val="none" w:sz="0" w:space="0" w:color="auto"/>
        <w:left w:val="none" w:sz="0" w:space="0" w:color="auto"/>
        <w:bottom w:val="none" w:sz="0" w:space="0" w:color="auto"/>
        <w:right w:val="none" w:sz="0" w:space="0" w:color="auto"/>
      </w:divBdr>
      <w:divsChild>
        <w:div w:id="1412311785">
          <w:marLeft w:val="0"/>
          <w:marRight w:val="0"/>
          <w:marTop w:val="0"/>
          <w:marBottom w:val="0"/>
          <w:divBdr>
            <w:top w:val="none" w:sz="0" w:space="0" w:color="auto"/>
            <w:left w:val="none" w:sz="0" w:space="0" w:color="auto"/>
            <w:bottom w:val="none" w:sz="0" w:space="0" w:color="auto"/>
            <w:right w:val="none" w:sz="0" w:space="0" w:color="auto"/>
          </w:divBdr>
          <w:divsChild>
            <w:div w:id="53650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60457">
      <w:bodyDiv w:val="1"/>
      <w:marLeft w:val="0"/>
      <w:marRight w:val="0"/>
      <w:marTop w:val="0"/>
      <w:marBottom w:val="0"/>
      <w:divBdr>
        <w:top w:val="none" w:sz="0" w:space="0" w:color="auto"/>
        <w:left w:val="none" w:sz="0" w:space="0" w:color="auto"/>
        <w:bottom w:val="none" w:sz="0" w:space="0" w:color="auto"/>
        <w:right w:val="none" w:sz="0" w:space="0" w:color="auto"/>
      </w:divBdr>
    </w:div>
    <w:div w:id="1401443979">
      <w:bodyDiv w:val="1"/>
      <w:marLeft w:val="0"/>
      <w:marRight w:val="0"/>
      <w:marTop w:val="0"/>
      <w:marBottom w:val="0"/>
      <w:divBdr>
        <w:top w:val="none" w:sz="0" w:space="0" w:color="auto"/>
        <w:left w:val="none" w:sz="0" w:space="0" w:color="auto"/>
        <w:bottom w:val="none" w:sz="0" w:space="0" w:color="auto"/>
        <w:right w:val="none" w:sz="0" w:space="0" w:color="auto"/>
      </w:divBdr>
      <w:divsChild>
        <w:div w:id="1823933773">
          <w:marLeft w:val="0"/>
          <w:marRight w:val="0"/>
          <w:marTop w:val="0"/>
          <w:marBottom w:val="0"/>
          <w:divBdr>
            <w:top w:val="none" w:sz="0" w:space="0" w:color="auto"/>
            <w:left w:val="none" w:sz="0" w:space="0" w:color="auto"/>
            <w:bottom w:val="none" w:sz="0" w:space="0" w:color="auto"/>
            <w:right w:val="none" w:sz="0" w:space="0" w:color="auto"/>
          </w:divBdr>
          <w:divsChild>
            <w:div w:id="519508636">
              <w:marLeft w:val="0"/>
              <w:marRight w:val="0"/>
              <w:marTop w:val="0"/>
              <w:marBottom w:val="0"/>
              <w:divBdr>
                <w:top w:val="none" w:sz="0" w:space="0" w:color="auto"/>
                <w:left w:val="none" w:sz="0" w:space="0" w:color="auto"/>
                <w:bottom w:val="none" w:sz="0" w:space="0" w:color="auto"/>
                <w:right w:val="none" w:sz="0" w:space="0" w:color="auto"/>
              </w:divBdr>
              <w:divsChild>
                <w:div w:id="155296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471454">
      <w:bodyDiv w:val="1"/>
      <w:marLeft w:val="0"/>
      <w:marRight w:val="0"/>
      <w:marTop w:val="0"/>
      <w:marBottom w:val="0"/>
      <w:divBdr>
        <w:top w:val="none" w:sz="0" w:space="0" w:color="auto"/>
        <w:left w:val="none" w:sz="0" w:space="0" w:color="auto"/>
        <w:bottom w:val="none" w:sz="0" w:space="0" w:color="auto"/>
        <w:right w:val="none" w:sz="0" w:space="0" w:color="auto"/>
      </w:divBdr>
    </w:div>
    <w:div w:id="1419061572">
      <w:bodyDiv w:val="1"/>
      <w:marLeft w:val="0"/>
      <w:marRight w:val="0"/>
      <w:marTop w:val="0"/>
      <w:marBottom w:val="0"/>
      <w:divBdr>
        <w:top w:val="none" w:sz="0" w:space="0" w:color="auto"/>
        <w:left w:val="none" w:sz="0" w:space="0" w:color="auto"/>
        <w:bottom w:val="none" w:sz="0" w:space="0" w:color="auto"/>
        <w:right w:val="none" w:sz="0" w:space="0" w:color="auto"/>
      </w:divBdr>
    </w:div>
    <w:div w:id="1436826622">
      <w:bodyDiv w:val="1"/>
      <w:marLeft w:val="0"/>
      <w:marRight w:val="0"/>
      <w:marTop w:val="0"/>
      <w:marBottom w:val="0"/>
      <w:divBdr>
        <w:top w:val="none" w:sz="0" w:space="0" w:color="auto"/>
        <w:left w:val="none" w:sz="0" w:space="0" w:color="auto"/>
        <w:bottom w:val="none" w:sz="0" w:space="0" w:color="auto"/>
        <w:right w:val="none" w:sz="0" w:space="0" w:color="auto"/>
      </w:divBdr>
      <w:divsChild>
        <w:div w:id="1305114478">
          <w:marLeft w:val="0"/>
          <w:marRight w:val="0"/>
          <w:marTop w:val="0"/>
          <w:marBottom w:val="0"/>
          <w:divBdr>
            <w:top w:val="none" w:sz="0" w:space="0" w:color="auto"/>
            <w:left w:val="none" w:sz="0" w:space="0" w:color="auto"/>
            <w:bottom w:val="none" w:sz="0" w:space="0" w:color="auto"/>
            <w:right w:val="none" w:sz="0" w:space="0" w:color="auto"/>
          </w:divBdr>
          <w:divsChild>
            <w:div w:id="182381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74110">
      <w:bodyDiv w:val="1"/>
      <w:marLeft w:val="0"/>
      <w:marRight w:val="0"/>
      <w:marTop w:val="0"/>
      <w:marBottom w:val="0"/>
      <w:divBdr>
        <w:top w:val="none" w:sz="0" w:space="0" w:color="auto"/>
        <w:left w:val="none" w:sz="0" w:space="0" w:color="auto"/>
        <w:bottom w:val="none" w:sz="0" w:space="0" w:color="auto"/>
        <w:right w:val="none" w:sz="0" w:space="0" w:color="auto"/>
      </w:divBdr>
    </w:div>
    <w:div w:id="1471484035">
      <w:bodyDiv w:val="1"/>
      <w:marLeft w:val="0"/>
      <w:marRight w:val="0"/>
      <w:marTop w:val="0"/>
      <w:marBottom w:val="0"/>
      <w:divBdr>
        <w:top w:val="none" w:sz="0" w:space="0" w:color="auto"/>
        <w:left w:val="none" w:sz="0" w:space="0" w:color="auto"/>
        <w:bottom w:val="none" w:sz="0" w:space="0" w:color="auto"/>
        <w:right w:val="none" w:sz="0" w:space="0" w:color="auto"/>
      </w:divBdr>
    </w:div>
    <w:div w:id="1500537523">
      <w:bodyDiv w:val="1"/>
      <w:marLeft w:val="0"/>
      <w:marRight w:val="0"/>
      <w:marTop w:val="0"/>
      <w:marBottom w:val="0"/>
      <w:divBdr>
        <w:top w:val="none" w:sz="0" w:space="0" w:color="auto"/>
        <w:left w:val="none" w:sz="0" w:space="0" w:color="auto"/>
        <w:bottom w:val="none" w:sz="0" w:space="0" w:color="auto"/>
        <w:right w:val="none" w:sz="0" w:space="0" w:color="auto"/>
      </w:divBdr>
    </w:div>
    <w:div w:id="1504853049">
      <w:bodyDiv w:val="1"/>
      <w:marLeft w:val="0"/>
      <w:marRight w:val="0"/>
      <w:marTop w:val="0"/>
      <w:marBottom w:val="0"/>
      <w:divBdr>
        <w:top w:val="none" w:sz="0" w:space="0" w:color="auto"/>
        <w:left w:val="none" w:sz="0" w:space="0" w:color="auto"/>
        <w:bottom w:val="none" w:sz="0" w:space="0" w:color="auto"/>
        <w:right w:val="none" w:sz="0" w:space="0" w:color="auto"/>
      </w:divBdr>
    </w:div>
    <w:div w:id="1509249017">
      <w:bodyDiv w:val="1"/>
      <w:marLeft w:val="0"/>
      <w:marRight w:val="0"/>
      <w:marTop w:val="0"/>
      <w:marBottom w:val="0"/>
      <w:divBdr>
        <w:top w:val="none" w:sz="0" w:space="0" w:color="auto"/>
        <w:left w:val="none" w:sz="0" w:space="0" w:color="auto"/>
        <w:bottom w:val="none" w:sz="0" w:space="0" w:color="auto"/>
        <w:right w:val="none" w:sz="0" w:space="0" w:color="auto"/>
      </w:divBdr>
      <w:divsChild>
        <w:div w:id="580871287">
          <w:marLeft w:val="0"/>
          <w:marRight w:val="0"/>
          <w:marTop w:val="0"/>
          <w:marBottom w:val="0"/>
          <w:divBdr>
            <w:top w:val="none" w:sz="0" w:space="0" w:color="auto"/>
            <w:left w:val="none" w:sz="0" w:space="0" w:color="auto"/>
            <w:bottom w:val="none" w:sz="0" w:space="0" w:color="auto"/>
            <w:right w:val="none" w:sz="0" w:space="0" w:color="auto"/>
          </w:divBdr>
          <w:divsChild>
            <w:div w:id="1586958204">
              <w:marLeft w:val="0"/>
              <w:marRight w:val="0"/>
              <w:marTop w:val="0"/>
              <w:marBottom w:val="0"/>
              <w:divBdr>
                <w:top w:val="none" w:sz="0" w:space="0" w:color="auto"/>
                <w:left w:val="none" w:sz="0" w:space="0" w:color="auto"/>
                <w:bottom w:val="none" w:sz="0" w:space="0" w:color="auto"/>
                <w:right w:val="none" w:sz="0" w:space="0" w:color="auto"/>
              </w:divBdr>
              <w:divsChild>
                <w:div w:id="808742555">
                  <w:marLeft w:val="0"/>
                  <w:marRight w:val="0"/>
                  <w:marTop w:val="0"/>
                  <w:marBottom w:val="0"/>
                  <w:divBdr>
                    <w:top w:val="none" w:sz="0" w:space="0" w:color="auto"/>
                    <w:left w:val="none" w:sz="0" w:space="0" w:color="auto"/>
                    <w:bottom w:val="none" w:sz="0" w:space="0" w:color="auto"/>
                    <w:right w:val="none" w:sz="0" w:space="0" w:color="auto"/>
                  </w:divBdr>
                  <w:divsChild>
                    <w:div w:id="28260597">
                      <w:marLeft w:val="0"/>
                      <w:marRight w:val="0"/>
                      <w:marTop w:val="0"/>
                      <w:marBottom w:val="0"/>
                      <w:divBdr>
                        <w:top w:val="none" w:sz="0" w:space="0" w:color="auto"/>
                        <w:left w:val="none" w:sz="0" w:space="0" w:color="auto"/>
                        <w:bottom w:val="none" w:sz="0" w:space="0" w:color="auto"/>
                        <w:right w:val="none" w:sz="0" w:space="0" w:color="auto"/>
                      </w:divBdr>
                      <w:divsChild>
                        <w:div w:id="722143990">
                          <w:marLeft w:val="0"/>
                          <w:marRight w:val="0"/>
                          <w:marTop w:val="0"/>
                          <w:marBottom w:val="0"/>
                          <w:divBdr>
                            <w:top w:val="none" w:sz="0" w:space="0" w:color="auto"/>
                            <w:left w:val="none" w:sz="0" w:space="0" w:color="auto"/>
                            <w:bottom w:val="none" w:sz="0" w:space="0" w:color="auto"/>
                            <w:right w:val="none" w:sz="0" w:space="0" w:color="auto"/>
                          </w:divBdr>
                          <w:divsChild>
                            <w:div w:id="267197173">
                              <w:marLeft w:val="0"/>
                              <w:marRight w:val="0"/>
                              <w:marTop w:val="0"/>
                              <w:marBottom w:val="0"/>
                              <w:divBdr>
                                <w:top w:val="none" w:sz="0" w:space="0" w:color="auto"/>
                                <w:left w:val="none" w:sz="0" w:space="0" w:color="auto"/>
                                <w:bottom w:val="none" w:sz="0" w:space="0" w:color="auto"/>
                                <w:right w:val="none" w:sz="0" w:space="0" w:color="auto"/>
                              </w:divBdr>
                              <w:divsChild>
                                <w:div w:id="1216504159">
                                  <w:marLeft w:val="0"/>
                                  <w:marRight w:val="0"/>
                                  <w:marTop w:val="0"/>
                                  <w:marBottom w:val="0"/>
                                  <w:divBdr>
                                    <w:top w:val="none" w:sz="0" w:space="0" w:color="auto"/>
                                    <w:left w:val="none" w:sz="0" w:space="0" w:color="auto"/>
                                    <w:bottom w:val="none" w:sz="0" w:space="0" w:color="auto"/>
                                    <w:right w:val="none" w:sz="0" w:space="0" w:color="auto"/>
                                  </w:divBdr>
                                </w:div>
                                <w:div w:id="187645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1508573">
      <w:bodyDiv w:val="1"/>
      <w:marLeft w:val="0"/>
      <w:marRight w:val="0"/>
      <w:marTop w:val="0"/>
      <w:marBottom w:val="0"/>
      <w:divBdr>
        <w:top w:val="none" w:sz="0" w:space="0" w:color="auto"/>
        <w:left w:val="none" w:sz="0" w:space="0" w:color="auto"/>
        <w:bottom w:val="none" w:sz="0" w:space="0" w:color="auto"/>
        <w:right w:val="none" w:sz="0" w:space="0" w:color="auto"/>
      </w:divBdr>
    </w:div>
    <w:div w:id="1525513632">
      <w:bodyDiv w:val="1"/>
      <w:marLeft w:val="0"/>
      <w:marRight w:val="0"/>
      <w:marTop w:val="0"/>
      <w:marBottom w:val="0"/>
      <w:divBdr>
        <w:top w:val="none" w:sz="0" w:space="0" w:color="auto"/>
        <w:left w:val="none" w:sz="0" w:space="0" w:color="auto"/>
        <w:bottom w:val="none" w:sz="0" w:space="0" w:color="auto"/>
        <w:right w:val="none" w:sz="0" w:space="0" w:color="auto"/>
      </w:divBdr>
      <w:divsChild>
        <w:div w:id="1417751387">
          <w:marLeft w:val="0"/>
          <w:marRight w:val="0"/>
          <w:marTop w:val="0"/>
          <w:marBottom w:val="0"/>
          <w:divBdr>
            <w:top w:val="none" w:sz="0" w:space="0" w:color="auto"/>
            <w:left w:val="none" w:sz="0" w:space="0" w:color="auto"/>
            <w:bottom w:val="none" w:sz="0" w:space="0" w:color="auto"/>
            <w:right w:val="none" w:sz="0" w:space="0" w:color="auto"/>
          </w:divBdr>
          <w:divsChild>
            <w:div w:id="155642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152105">
      <w:bodyDiv w:val="1"/>
      <w:marLeft w:val="0"/>
      <w:marRight w:val="0"/>
      <w:marTop w:val="0"/>
      <w:marBottom w:val="0"/>
      <w:divBdr>
        <w:top w:val="none" w:sz="0" w:space="0" w:color="auto"/>
        <w:left w:val="none" w:sz="0" w:space="0" w:color="auto"/>
        <w:bottom w:val="none" w:sz="0" w:space="0" w:color="auto"/>
        <w:right w:val="none" w:sz="0" w:space="0" w:color="auto"/>
      </w:divBdr>
      <w:divsChild>
        <w:div w:id="1678969892">
          <w:marLeft w:val="0"/>
          <w:marRight w:val="0"/>
          <w:marTop w:val="0"/>
          <w:marBottom w:val="0"/>
          <w:divBdr>
            <w:top w:val="none" w:sz="0" w:space="0" w:color="auto"/>
            <w:left w:val="none" w:sz="0" w:space="0" w:color="auto"/>
            <w:bottom w:val="none" w:sz="0" w:space="0" w:color="auto"/>
            <w:right w:val="none" w:sz="0" w:space="0" w:color="auto"/>
          </w:divBdr>
        </w:div>
      </w:divsChild>
    </w:div>
    <w:div w:id="1560359391">
      <w:bodyDiv w:val="1"/>
      <w:marLeft w:val="0"/>
      <w:marRight w:val="0"/>
      <w:marTop w:val="0"/>
      <w:marBottom w:val="0"/>
      <w:divBdr>
        <w:top w:val="none" w:sz="0" w:space="0" w:color="auto"/>
        <w:left w:val="none" w:sz="0" w:space="0" w:color="auto"/>
        <w:bottom w:val="none" w:sz="0" w:space="0" w:color="auto"/>
        <w:right w:val="none" w:sz="0" w:space="0" w:color="auto"/>
      </w:divBdr>
    </w:div>
    <w:div w:id="1569998621">
      <w:bodyDiv w:val="1"/>
      <w:marLeft w:val="0"/>
      <w:marRight w:val="0"/>
      <w:marTop w:val="0"/>
      <w:marBottom w:val="0"/>
      <w:divBdr>
        <w:top w:val="none" w:sz="0" w:space="0" w:color="auto"/>
        <w:left w:val="none" w:sz="0" w:space="0" w:color="auto"/>
        <w:bottom w:val="none" w:sz="0" w:space="0" w:color="auto"/>
        <w:right w:val="none" w:sz="0" w:space="0" w:color="auto"/>
      </w:divBdr>
    </w:div>
    <w:div w:id="1577788928">
      <w:bodyDiv w:val="1"/>
      <w:marLeft w:val="0"/>
      <w:marRight w:val="0"/>
      <w:marTop w:val="0"/>
      <w:marBottom w:val="0"/>
      <w:divBdr>
        <w:top w:val="none" w:sz="0" w:space="0" w:color="auto"/>
        <w:left w:val="none" w:sz="0" w:space="0" w:color="auto"/>
        <w:bottom w:val="none" w:sz="0" w:space="0" w:color="auto"/>
        <w:right w:val="none" w:sz="0" w:space="0" w:color="auto"/>
      </w:divBdr>
      <w:divsChild>
        <w:div w:id="1472478011">
          <w:marLeft w:val="0"/>
          <w:marRight w:val="0"/>
          <w:marTop w:val="0"/>
          <w:marBottom w:val="0"/>
          <w:divBdr>
            <w:top w:val="none" w:sz="0" w:space="0" w:color="auto"/>
            <w:left w:val="none" w:sz="0" w:space="0" w:color="auto"/>
            <w:bottom w:val="none" w:sz="0" w:space="0" w:color="auto"/>
            <w:right w:val="none" w:sz="0" w:space="0" w:color="auto"/>
          </w:divBdr>
          <w:divsChild>
            <w:div w:id="70845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228479">
      <w:bodyDiv w:val="1"/>
      <w:marLeft w:val="0"/>
      <w:marRight w:val="0"/>
      <w:marTop w:val="0"/>
      <w:marBottom w:val="0"/>
      <w:divBdr>
        <w:top w:val="none" w:sz="0" w:space="0" w:color="auto"/>
        <w:left w:val="none" w:sz="0" w:space="0" w:color="auto"/>
        <w:bottom w:val="none" w:sz="0" w:space="0" w:color="auto"/>
        <w:right w:val="none" w:sz="0" w:space="0" w:color="auto"/>
      </w:divBdr>
    </w:div>
    <w:div w:id="1591504675">
      <w:bodyDiv w:val="1"/>
      <w:marLeft w:val="0"/>
      <w:marRight w:val="0"/>
      <w:marTop w:val="0"/>
      <w:marBottom w:val="0"/>
      <w:divBdr>
        <w:top w:val="none" w:sz="0" w:space="0" w:color="auto"/>
        <w:left w:val="none" w:sz="0" w:space="0" w:color="auto"/>
        <w:bottom w:val="none" w:sz="0" w:space="0" w:color="auto"/>
        <w:right w:val="none" w:sz="0" w:space="0" w:color="auto"/>
      </w:divBdr>
      <w:divsChild>
        <w:div w:id="614874764">
          <w:marLeft w:val="0"/>
          <w:marRight w:val="0"/>
          <w:marTop w:val="0"/>
          <w:marBottom w:val="0"/>
          <w:divBdr>
            <w:top w:val="none" w:sz="0" w:space="0" w:color="auto"/>
            <w:left w:val="none" w:sz="0" w:space="0" w:color="auto"/>
            <w:bottom w:val="none" w:sz="0" w:space="0" w:color="auto"/>
            <w:right w:val="none" w:sz="0" w:space="0" w:color="auto"/>
          </w:divBdr>
        </w:div>
      </w:divsChild>
    </w:div>
    <w:div w:id="1610313359">
      <w:bodyDiv w:val="1"/>
      <w:marLeft w:val="0"/>
      <w:marRight w:val="0"/>
      <w:marTop w:val="0"/>
      <w:marBottom w:val="0"/>
      <w:divBdr>
        <w:top w:val="none" w:sz="0" w:space="0" w:color="auto"/>
        <w:left w:val="none" w:sz="0" w:space="0" w:color="auto"/>
        <w:bottom w:val="none" w:sz="0" w:space="0" w:color="auto"/>
        <w:right w:val="none" w:sz="0" w:space="0" w:color="auto"/>
      </w:divBdr>
      <w:divsChild>
        <w:div w:id="575289884">
          <w:marLeft w:val="0"/>
          <w:marRight w:val="0"/>
          <w:marTop w:val="0"/>
          <w:marBottom w:val="0"/>
          <w:divBdr>
            <w:top w:val="none" w:sz="0" w:space="0" w:color="auto"/>
            <w:left w:val="none" w:sz="0" w:space="0" w:color="auto"/>
            <w:bottom w:val="none" w:sz="0" w:space="0" w:color="auto"/>
            <w:right w:val="none" w:sz="0" w:space="0" w:color="auto"/>
          </w:divBdr>
          <w:divsChild>
            <w:div w:id="95108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5510">
      <w:bodyDiv w:val="1"/>
      <w:marLeft w:val="0"/>
      <w:marRight w:val="0"/>
      <w:marTop w:val="0"/>
      <w:marBottom w:val="0"/>
      <w:divBdr>
        <w:top w:val="none" w:sz="0" w:space="0" w:color="auto"/>
        <w:left w:val="none" w:sz="0" w:space="0" w:color="auto"/>
        <w:bottom w:val="none" w:sz="0" w:space="0" w:color="auto"/>
        <w:right w:val="none" w:sz="0" w:space="0" w:color="auto"/>
      </w:divBdr>
      <w:divsChild>
        <w:div w:id="702898489">
          <w:marLeft w:val="0"/>
          <w:marRight w:val="0"/>
          <w:marTop w:val="0"/>
          <w:marBottom w:val="0"/>
          <w:divBdr>
            <w:top w:val="none" w:sz="0" w:space="0" w:color="auto"/>
            <w:left w:val="none" w:sz="0" w:space="0" w:color="auto"/>
            <w:bottom w:val="none" w:sz="0" w:space="0" w:color="auto"/>
            <w:right w:val="none" w:sz="0" w:space="0" w:color="auto"/>
          </w:divBdr>
          <w:divsChild>
            <w:div w:id="165498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223933">
      <w:bodyDiv w:val="1"/>
      <w:marLeft w:val="0"/>
      <w:marRight w:val="0"/>
      <w:marTop w:val="0"/>
      <w:marBottom w:val="0"/>
      <w:divBdr>
        <w:top w:val="none" w:sz="0" w:space="0" w:color="auto"/>
        <w:left w:val="none" w:sz="0" w:space="0" w:color="auto"/>
        <w:bottom w:val="none" w:sz="0" w:space="0" w:color="auto"/>
        <w:right w:val="none" w:sz="0" w:space="0" w:color="auto"/>
      </w:divBdr>
    </w:div>
    <w:div w:id="1672953112">
      <w:bodyDiv w:val="1"/>
      <w:marLeft w:val="0"/>
      <w:marRight w:val="0"/>
      <w:marTop w:val="0"/>
      <w:marBottom w:val="0"/>
      <w:divBdr>
        <w:top w:val="none" w:sz="0" w:space="0" w:color="auto"/>
        <w:left w:val="none" w:sz="0" w:space="0" w:color="auto"/>
        <w:bottom w:val="none" w:sz="0" w:space="0" w:color="auto"/>
        <w:right w:val="none" w:sz="0" w:space="0" w:color="auto"/>
      </w:divBdr>
    </w:div>
    <w:div w:id="1673681342">
      <w:bodyDiv w:val="1"/>
      <w:marLeft w:val="0"/>
      <w:marRight w:val="0"/>
      <w:marTop w:val="0"/>
      <w:marBottom w:val="0"/>
      <w:divBdr>
        <w:top w:val="none" w:sz="0" w:space="0" w:color="auto"/>
        <w:left w:val="none" w:sz="0" w:space="0" w:color="auto"/>
        <w:bottom w:val="none" w:sz="0" w:space="0" w:color="auto"/>
        <w:right w:val="none" w:sz="0" w:space="0" w:color="auto"/>
      </w:divBdr>
      <w:divsChild>
        <w:div w:id="122584305">
          <w:marLeft w:val="0"/>
          <w:marRight w:val="0"/>
          <w:marTop w:val="0"/>
          <w:marBottom w:val="0"/>
          <w:divBdr>
            <w:top w:val="none" w:sz="0" w:space="0" w:color="auto"/>
            <w:left w:val="none" w:sz="0" w:space="0" w:color="auto"/>
            <w:bottom w:val="none" w:sz="0" w:space="0" w:color="auto"/>
            <w:right w:val="none" w:sz="0" w:space="0" w:color="auto"/>
          </w:divBdr>
          <w:divsChild>
            <w:div w:id="1461411850">
              <w:marLeft w:val="0"/>
              <w:marRight w:val="0"/>
              <w:marTop w:val="0"/>
              <w:marBottom w:val="0"/>
              <w:divBdr>
                <w:top w:val="none" w:sz="0" w:space="0" w:color="auto"/>
                <w:left w:val="none" w:sz="0" w:space="0" w:color="auto"/>
                <w:bottom w:val="none" w:sz="0" w:space="0" w:color="auto"/>
                <w:right w:val="none" w:sz="0" w:space="0" w:color="auto"/>
              </w:divBdr>
              <w:divsChild>
                <w:div w:id="1083183778">
                  <w:marLeft w:val="0"/>
                  <w:marRight w:val="0"/>
                  <w:marTop w:val="0"/>
                  <w:marBottom w:val="0"/>
                  <w:divBdr>
                    <w:top w:val="none" w:sz="0" w:space="0" w:color="auto"/>
                    <w:left w:val="none" w:sz="0" w:space="0" w:color="auto"/>
                    <w:bottom w:val="none" w:sz="0" w:space="0" w:color="auto"/>
                    <w:right w:val="none" w:sz="0" w:space="0" w:color="auto"/>
                  </w:divBdr>
                  <w:divsChild>
                    <w:div w:id="253978096">
                      <w:marLeft w:val="0"/>
                      <w:marRight w:val="0"/>
                      <w:marTop w:val="0"/>
                      <w:marBottom w:val="0"/>
                      <w:divBdr>
                        <w:top w:val="none" w:sz="0" w:space="0" w:color="auto"/>
                        <w:left w:val="none" w:sz="0" w:space="0" w:color="auto"/>
                        <w:bottom w:val="none" w:sz="0" w:space="0" w:color="auto"/>
                        <w:right w:val="none" w:sz="0" w:space="0" w:color="auto"/>
                      </w:divBdr>
                      <w:divsChild>
                        <w:div w:id="407506665">
                          <w:marLeft w:val="0"/>
                          <w:marRight w:val="0"/>
                          <w:marTop w:val="0"/>
                          <w:marBottom w:val="0"/>
                          <w:divBdr>
                            <w:top w:val="none" w:sz="0" w:space="0" w:color="auto"/>
                            <w:left w:val="none" w:sz="0" w:space="0" w:color="auto"/>
                            <w:bottom w:val="none" w:sz="0" w:space="0" w:color="auto"/>
                            <w:right w:val="none" w:sz="0" w:space="0" w:color="auto"/>
                          </w:divBdr>
                          <w:divsChild>
                            <w:div w:id="11118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6883672">
      <w:bodyDiv w:val="1"/>
      <w:marLeft w:val="0"/>
      <w:marRight w:val="0"/>
      <w:marTop w:val="0"/>
      <w:marBottom w:val="0"/>
      <w:divBdr>
        <w:top w:val="none" w:sz="0" w:space="0" w:color="auto"/>
        <w:left w:val="none" w:sz="0" w:space="0" w:color="auto"/>
        <w:bottom w:val="none" w:sz="0" w:space="0" w:color="auto"/>
        <w:right w:val="none" w:sz="0" w:space="0" w:color="auto"/>
      </w:divBdr>
    </w:div>
    <w:div w:id="1685595620">
      <w:bodyDiv w:val="1"/>
      <w:marLeft w:val="0"/>
      <w:marRight w:val="0"/>
      <w:marTop w:val="0"/>
      <w:marBottom w:val="0"/>
      <w:divBdr>
        <w:top w:val="none" w:sz="0" w:space="0" w:color="auto"/>
        <w:left w:val="none" w:sz="0" w:space="0" w:color="auto"/>
        <w:bottom w:val="none" w:sz="0" w:space="0" w:color="auto"/>
        <w:right w:val="none" w:sz="0" w:space="0" w:color="auto"/>
      </w:divBdr>
    </w:div>
    <w:div w:id="1687752181">
      <w:bodyDiv w:val="1"/>
      <w:marLeft w:val="0"/>
      <w:marRight w:val="0"/>
      <w:marTop w:val="0"/>
      <w:marBottom w:val="0"/>
      <w:divBdr>
        <w:top w:val="none" w:sz="0" w:space="0" w:color="auto"/>
        <w:left w:val="none" w:sz="0" w:space="0" w:color="auto"/>
        <w:bottom w:val="none" w:sz="0" w:space="0" w:color="auto"/>
        <w:right w:val="none" w:sz="0" w:space="0" w:color="auto"/>
      </w:divBdr>
    </w:div>
    <w:div w:id="1700399663">
      <w:bodyDiv w:val="1"/>
      <w:marLeft w:val="0"/>
      <w:marRight w:val="0"/>
      <w:marTop w:val="0"/>
      <w:marBottom w:val="0"/>
      <w:divBdr>
        <w:top w:val="none" w:sz="0" w:space="0" w:color="auto"/>
        <w:left w:val="none" w:sz="0" w:space="0" w:color="auto"/>
        <w:bottom w:val="none" w:sz="0" w:space="0" w:color="auto"/>
        <w:right w:val="none" w:sz="0" w:space="0" w:color="auto"/>
      </w:divBdr>
      <w:divsChild>
        <w:div w:id="1462070833">
          <w:marLeft w:val="0"/>
          <w:marRight w:val="0"/>
          <w:marTop w:val="0"/>
          <w:marBottom w:val="0"/>
          <w:divBdr>
            <w:top w:val="none" w:sz="0" w:space="0" w:color="auto"/>
            <w:left w:val="none" w:sz="0" w:space="0" w:color="auto"/>
            <w:bottom w:val="none" w:sz="0" w:space="0" w:color="auto"/>
            <w:right w:val="none" w:sz="0" w:space="0" w:color="auto"/>
          </w:divBdr>
        </w:div>
      </w:divsChild>
    </w:div>
    <w:div w:id="1718580603">
      <w:bodyDiv w:val="1"/>
      <w:marLeft w:val="0"/>
      <w:marRight w:val="0"/>
      <w:marTop w:val="0"/>
      <w:marBottom w:val="0"/>
      <w:divBdr>
        <w:top w:val="none" w:sz="0" w:space="0" w:color="auto"/>
        <w:left w:val="none" w:sz="0" w:space="0" w:color="auto"/>
        <w:bottom w:val="none" w:sz="0" w:space="0" w:color="auto"/>
        <w:right w:val="none" w:sz="0" w:space="0" w:color="auto"/>
      </w:divBdr>
    </w:div>
    <w:div w:id="1753625369">
      <w:bodyDiv w:val="1"/>
      <w:marLeft w:val="0"/>
      <w:marRight w:val="0"/>
      <w:marTop w:val="0"/>
      <w:marBottom w:val="0"/>
      <w:divBdr>
        <w:top w:val="none" w:sz="0" w:space="0" w:color="auto"/>
        <w:left w:val="none" w:sz="0" w:space="0" w:color="auto"/>
        <w:bottom w:val="none" w:sz="0" w:space="0" w:color="auto"/>
        <w:right w:val="none" w:sz="0" w:space="0" w:color="auto"/>
      </w:divBdr>
      <w:divsChild>
        <w:div w:id="1531794911">
          <w:marLeft w:val="0"/>
          <w:marRight w:val="0"/>
          <w:marTop w:val="0"/>
          <w:marBottom w:val="0"/>
          <w:divBdr>
            <w:top w:val="none" w:sz="0" w:space="0" w:color="auto"/>
            <w:left w:val="none" w:sz="0" w:space="0" w:color="auto"/>
            <w:bottom w:val="none" w:sz="0" w:space="0" w:color="auto"/>
            <w:right w:val="none" w:sz="0" w:space="0" w:color="auto"/>
          </w:divBdr>
          <w:divsChild>
            <w:div w:id="68952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122605">
      <w:bodyDiv w:val="1"/>
      <w:marLeft w:val="0"/>
      <w:marRight w:val="0"/>
      <w:marTop w:val="0"/>
      <w:marBottom w:val="0"/>
      <w:divBdr>
        <w:top w:val="none" w:sz="0" w:space="0" w:color="auto"/>
        <w:left w:val="none" w:sz="0" w:space="0" w:color="auto"/>
        <w:bottom w:val="none" w:sz="0" w:space="0" w:color="auto"/>
        <w:right w:val="none" w:sz="0" w:space="0" w:color="auto"/>
      </w:divBdr>
    </w:div>
    <w:div w:id="1756970391">
      <w:bodyDiv w:val="1"/>
      <w:marLeft w:val="0"/>
      <w:marRight w:val="0"/>
      <w:marTop w:val="0"/>
      <w:marBottom w:val="0"/>
      <w:divBdr>
        <w:top w:val="none" w:sz="0" w:space="0" w:color="auto"/>
        <w:left w:val="none" w:sz="0" w:space="0" w:color="auto"/>
        <w:bottom w:val="none" w:sz="0" w:space="0" w:color="auto"/>
        <w:right w:val="none" w:sz="0" w:space="0" w:color="auto"/>
      </w:divBdr>
    </w:div>
    <w:div w:id="1773666695">
      <w:bodyDiv w:val="1"/>
      <w:marLeft w:val="0"/>
      <w:marRight w:val="0"/>
      <w:marTop w:val="0"/>
      <w:marBottom w:val="0"/>
      <w:divBdr>
        <w:top w:val="none" w:sz="0" w:space="0" w:color="auto"/>
        <w:left w:val="none" w:sz="0" w:space="0" w:color="auto"/>
        <w:bottom w:val="none" w:sz="0" w:space="0" w:color="auto"/>
        <w:right w:val="none" w:sz="0" w:space="0" w:color="auto"/>
      </w:divBdr>
    </w:div>
    <w:div w:id="1776095885">
      <w:bodyDiv w:val="1"/>
      <w:marLeft w:val="0"/>
      <w:marRight w:val="0"/>
      <w:marTop w:val="0"/>
      <w:marBottom w:val="0"/>
      <w:divBdr>
        <w:top w:val="none" w:sz="0" w:space="0" w:color="auto"/>
        <w:left w:val="none" w:sz="0" w:space="0" w:color="auto"/>
        <w:bottom w:val="none" w:sz="0" w:space="0" w:color="auto"/>
        <w:right w:val="none" w:sz="0" w:space="0" w:color="auto"/>
      </w:divBdr>
      <w:divsChild>
        <w:div w:id="594826282">
          <w:marLeft w:val="0"/>
          <w:marRight w:val="0"/>
          <w:marTop w:val="100"/>
          <w:marBottom w:val="100"/>
          <w:divBdr>
            <w:top w:val="none" w:sz="0" w:space="0" w:color="auto"/>
            <w:left w:val="none" w:sz="0" w:space="0" w:color="auto"/>
            <w:bottom w:val="none" w:sz="0" w:space="0" w:color="auto"/>
            <w:right w:val="none" w:sz="0" w:space="0" w:color="auto"/>
          </w:divBdr>
          <w:divsChild>
            <w:div w:id="1394427820">
              <w:marLeft w:val="0"/>
              <w:marRight w:val="0"/>
              <w:marTop w:val="0"/>
              <w:marBottom w:val="0"/>
              <w:divBdr>
                <w:top w:val="none" w:sz="0" w:space="0" w:color="auto"/>
                <w:left w:val="none" w:sz="0" w:space="0" w:color="auto"/>
                <w:bottom w:val="none" w:sz="0" w:space="0" w:color="auto"/>
                <w:right w:val="none" w:sz="0" w:space="0" w:color="auto"/>
              </w:divBdr>
              <w:divsChild>
                <w:div w:id="1501312997">
                  <w:marLeft w:val="105"/>
                  <w:marRight w:val="105"/>
                  <w:marTop w:val="150"/>
                  <w:marBottom w:val="150"/>
                  <w:divBdr>
                    <w:top w:val="none" w:sz="0" w:space="0" w:color="auto"/>
                    <w:left w:val="none" w:sz="0" w:space="0" w:color="auto"/>
                    <w:bottom w:val="none" w:sz="0" w:space="0" w:color="auto"/>
                    <w:right w:val="none" w:sz="0" w:space="0" w:color="auto"/>
                  </w:divBdr>
                  <w:divsChild>
                    <w:div w:id="464852972">
                      <w:marLeft w:val="0"/>
                      <w:marRight w:val="0"/>
                      <w:marTop w:val="0"/>
                      <w:marBottom w:val="0"/>
                      <w:divBdr>
                        <w:top w:val="none" w:sz="0" w:space="0" w:color="auto"/>
                        <w:left w:val="none" w:sz="0" w:space="0" w:color="auto"/>
                        <w:bottom w:val="none" w:sz="0" w:space="0" w:color="auto"/>
                        <w:right w:val="none" w:sz="0" w:space="0" w:color="auto"/>
                      </w:divBdr>
                      <w:divsChild>
                        <w:div w:id="1024786906">
                          <w:marLeft w:val="0"/>
                          <w:marRight w:val="0"/>
                          <w:marTop w:val="0"/>
                          <w:marBottom w:val="0"/>
                          <w:divBdr>
                            <w:top w:val="none" w:sz="0" w:space="0" w:color="auto"/>
                            <w:left w:val="none" w:sz="0" w:space="0" w:color="auto"/>
                            <w:bottom w:val="none" w:sz="0" w:space="0" w:color="auto"/>
                            <w:right w:val="none" w:sz="0" w:space="0" w:color="auto"/>
                          </w:divBdr>
                          <w:divsChild>
                            <w:div w:id="1889216867">
                              <w:marLeft w:val="0"/>
                              <w:marRight w:val="0"/>
                              <w:marTop w:val="0"/>
                              <w:marBottom w:val="0"/>
                              <w:divBdr>
                                <w:top w:val="none" w:sz="0" w:space="0" w:color="auto"/>
                                <w:left w:val="none" w:sz="0" w:space="0" w:color="auto"/>
                                <w:bottom w:val="none" w:sz="0" w:space="0" w:color="auto"/>
                                <w:right w:val="none" w:sz="0" w:space="0" w:color="auto"/>
                              </w:divBdr>
                              <w:divsChild>
                                <w:div w:id="350187187">
                                  <w:marLeft w:val="105"/>
                                  <w:marRight w:val="105"/>
                                  <w:marTop w:val="150"/>
                                  <w:marBottom w:val="150"/>
                                  <w:divBdr>
                                    <w:top w:val="none" w:sz="0" w:space="0" w:color="auto"/>
                                    <w:left w:val="none" w:sz="0" w:space="0" w:color="auto"/>
                                    <w:bottom w:val="none" w:sz="0" w:space="0" w:color="auto"/>
                                    <w:right w:val="none" w:sz="0" w:space="0" w:color="auto"/>
                                  </w:divBdr>
                                  <w:divsChild>
                                    <w:div w:id="771974518">
                                      <w:marLeft w:val="0"/>
                                      <w:marRight w:val="0"/>
                                      <w:marTop w:val="0"/>
                                      <w:marBottom w:val="0"/>
                                      <w:divBdr>
                                        <w:top w:val="none" w:sz="0" w:space="0" w:color="auto"/>
                                        <w:left w:val="none" w:sz="0" w:space="0" w:color="auto"/>
                                        <w:bottom w:val="none" w:sz="0" w:space="0" w:color="auto"/>
                                        <w:right w:val="none" w:sz="0" w:space="0" w:color="auto"/>
                                      </w:divBdr>
                                      <w:divsChild>
                                        <w:div w:id="1394356892">
                                          <w:marLeft w:val="0"/>
                                          <w:marRight w:val="0"/>
                                          <w:marTop w:val="0"/>
                                          <w:marBottom w:val="0"/>
                                          <w:divBdr>
                                            <w:top w:val="none" w:sz="0" w:space="0" w:color="auto"/>
                                            <w:left w:val="none" w:sz="0" w:space="0" w:color="auto"/>
                                            <w:bottom w:val="none" w:sz="0" w:space="0" w:color="auto"/>
                                            <w:right w:val="none" w:sz="0" w:space="0" w:color="auto"/>
                                          </w:divBdr>
                                          <w:divsChild>
                                            <w:div w:id="1368025214">
                                              <w:marLeft w:val="0"/>
                                              <w:marRight w:val="0"/>
                                              <w:marTop w:val="0"/>
                                              <w:marBottom w:val="0"/>
                                              <w:divBdr>
                                                <w:top w:val="none" w:sz="0" w:space="0" w:color="auto"/>
                                                <w:left w:val="none" w:sz="0" w:space="0" w:color="auto"/>
                                                <w:bottom w:val="none" w:sz="0" w:space="0" w:color="auto"/>
                                                <w:right w:val="none" w:sz="0" w:space="0" w:color="auto"/>
                                              </w:divBdr>
                                              <w:divsChild>
                                                <w:div w:id="1298102142">
                                                  <w:marLeft w:val="0"/>
                                                  <w:marRight w:val="0"/>
                                                  <w:marTop w:val="0"/>
                                                  <w:marBottom w:val="0"/>
                                                  <w:divBdr>
                                                    <w:top w:val="none" w:sz="0" w:space="0" w:color="auto"/>
                                                    <w:left w:val="none" w:sz="0" w:space="0" w:color="auto"/>
                                                    <w:bottom w:val="none" w:sz="0" w:space="0" w:color="auto"/>
                                                    <w:right w:val="none" w:sz="0" w:space="0" w:color="auto"/>
                                                  </w:divBdr>
                                                  <w:divsChild>
                                                    <w:div w:id="1992905462">
                                                      <w:marLeft w:val="105"/>
                                                      <w:marRight w:val="105"/>
                                                      <w:marTop w:val="150"/>
                                                      <w:marBottom w:val="150"/>
                                                      <w:divBdr>
                                                        <w:top w:val="none" w:sz="0" w:space="0" w:color="auto"/>
                                                        <w:left w:val="none" w:sz="0" w:space="0" w:color="auto"/>
                                                        <w:bottom w:val="none" w:sz="0" w:space="0" w:color="auto"/>
                                                        <w:right w:val="none" w:sz="0" w:space="0" w:color="auto"/>
                                                      </w:divBdr>
                                                      <w:divsChild>
                                                        <w:div w:id="458694711">
                                                          <w:marLeft w:val="0"/>
                                                          <w:marRight w:val="0"/>
                                                          <w:marTop w:val="0"/>
                                                          <w:marBottom w:val="0"/>
                                                          <w:divBdr>
                                                            <w:top w:val="none" w:sz="0" w:space="0" w:color="auto"/>
                                                            <w:left w:val="none" w:sz="0" w:space="0" w:color="auto"/>
                                                            <w:bottom w:val="none" w:sz="0" w:space="0" w:color="auto"/>
                                                            <w:right w:val="none" w:sz="0" w:space="0" w:color="auto"/>
                                                          </w:divBdr>
                                                          <w:divsChild>
                                                            <w:div w:id="1664119730">
                                                              <w:marLeft w:val="0"/>
                                                              <w:marRight w:val="0"/>
                                                              <w:marTop w:val="0"/>
                                                              <w:marBottom w:val="0"/>
                                                              <w:divBdr>
                                                                <w:top w:val="none" w:sz="0" w:space="0" w:color="auto"/>
                                                                <w:left w:val="none" w:sz="0" w:space="0" w:color="auto"/>
                                                                <w:bottom w:val="none" w:sz="0" w:space="0" w:color="auto"/>
                                                                <w:right w:val="none" w:sz="0" w:space="0" w:color="auto"/>
                                                              </w:divBdr>
                                                              <w:divsChild>
                                                                <w:div w:id="742794622">
                                                                  <w:marLeft w:val="0"/>
                                                                  <w:marRight w:val="0"/>
                                                                  <w:marTop w:val="0"/>
                                                                  <w:marBottom w:val="0"/>
                                                                  <w:divBdr>
                                                                    <w:top w:val="none" w:sz="0" w:space="0" w:color="auto"/>
                                                                    <w:left w:val="none" w:sz="0" w:space="0" w:color="auto"/>
                                                                    <w:bottom w:val="none" w:sz="0" w:space="0" w:color="auto"/>
                                                                    <w:right w:val="none" w:sz="0" w:space="0" w:color="auto"/>
                                                                  </w:divBdr>
                                                                  <w:divsChild>
                                                                    <w:div w:id="1624269929">
                                                                      <w:marLeft w:val="0"/>
                                                                      <w:marRight w:val="0"/>
                                                                      <w:marTop w:val="0"/>
                                                                      <w:marBottom w:val="0"/>
                                                                      <w:divBdr>
                                                                        <w:top w:val="none" w:sz="0" w:space="0" w:color="auto"/>
                                                                        <w:left w:val="none" w:sz="0" w:space="0" w:color="auto"/>
                                                                        <w:bottom w:val="none" w:sz="0" w:space="0" w:color="auto"/>
                                                                        <w:right w:val="none" w:sz="0" w:space="0" w:color="auto"/>
                                                                      </w:divBdr>
                                                                      <w:divsChild>
                                                                        <w:div w:id="426927921">
                                                                          <w:marLeft w:val="0"/>
                                                                          <w:marRight w:val="0"/>
                                                                          <w:marTop w:val="0"/>
                                                                          <w:marBottom w:val="0"/>
                                                                          <w:divBdr>
                                                                            <w:top w:val="none" w:sz="0" w:space="0" w:color="auto"/>
                                                                            <w:left w:val="none" w:sz="0" w:space="0" w:color="auto"/>
                                                                            <w:bottom w:val="none" w:sz="0" w:space="0" w:color="auto"/>
                                                                            <w:right w:val="none" w:sz="0" w:space="0" w:color="auto"/>
                                                                          </w:divBdr>
                                                                          <w:divsChild>
                                                                            <w:div w:id="2093042293">
                                                                              <w:marLeft w:val="105"/>
                                                                              <w:marRight w:val="105"/>
                                                                              <w:marTop w:val="150"/>
                                                                              <w:marBottom w:val="150"/>
                                                                              <w:divBdr>
                                                                                <w:top w:val="none" w:sz="0" w:space="0" w:color="auto"/>
                                                                                <w:left w:val="none" w:sz="0" w:space="0" w:color="auto"/>
                                                                                <w:bottom w:val="none" w:sz="0" w:space="0" w:color="auto"/>
                                                                                <w:right w:val="none" w:sz="0" w:space="0" w:color="auto"/>
                                                                              </w:divBdr>
                                                                              <w:divsChild>
                                                                                <w:div w:id="1329207224">
                                                                                  <w:marLeft w:val="0"/>
                                                                                  <w:marRight w:val="0"/>
                                                                                  <w:marTop w:val="0"/>
                                                                                  <w:marBottom w:val="0"/>
                                                                                  <w:divBdr>
                                                                                    <w:top w:val="none" w:sz="0" w:space="0" w:color="auto"/>
                                                                                    <w:left w:val="none" w:sz="0" w:space="0" w:color="auto"/>
                                                                                    <w:bottom w:val="none" w:sz="0" w:space="0" w:color="auto"/>
                                                                                    <w:right w:val="none" w:sz="0" w:space="0" w:color="auto"/>
                                                                                  </w:divBdr>
                                                                                  <w:divsChild>
                                                                                    <w:div w:id="1503357318">
                                                                                      <w:marLeft w:val="0"/>
                                                                                      <w:marRight w:val="0"/>
                                                                                      <w:marTop w:val="0"/>
                                                                                      <w:marBottom w:val="0"/>
                                                                                      <w:divBdr>
                                                                                        <w:top w:val="none" w:sz="0" w:space="0" w:color="auto"/>
                                                                                        <w:left w:val="none" w:sz="0" w:space="0" w:color="auto"/>
                                                                                        <w:bottom w:val="none" w:sz="0" w:space="0" w:color="auto"/>
                                                                                        <w:right w:val="none" w:sz="0" w:space="0" w:color="auto"/>
                                                                                      </w:divBdr>
                                                                                      <w:divsChild>
                                                                                        <w:div w:id="819736865">
                                                                                          <w:marLeft w:val="0"/>
                                                                                          <w:marRight w:val="0"/>
                                                                                          <w:marTop w:val="0"/>
                                                                                          <w:marBottom w:val="0"/>
                                                                                          <w:divBdr>
                                                                                            <w:top w:val="none" w:sz="0" w:space="0" w:color="auto"/>
                                                                                            <w:left w:val="none" w:sz="0" w:space="0" w:color="auto"/>
                                                                                            <w:bottom w:val="none" w:sz="0" w:space="0" w:color="auto"/>
                                                                                            <w:right w:val="none" w:sz="0" w:space="0" w:color="auto"/>
                                                                                          </w:divBdr>
                                                                                          <w:divsChild>
                                                                                            <w:div w:id="2082361744">
                                                                                              <w:marLeft w:val="0"/>
                                                                                              <w:marRight w:val="0"/>
                                                                                              <w:marTop w:val="0"/>
                                                                                              <w:marBottom w:val="0"/>
                                                                                              <w:divBdr>
                                                                                                <w:top w:val="none" w:sz="0" w:space="0" w:color="auto"/>
                                                                                                <w:left w:val="none" w:sz="0" w:space="0" w:color="auto"/>
                                                                                                <w:bottom w:val="none" w:sz="0" w:space="0" w:color="auto"/>
                                                                                                <w:right w:val="none" w:sz="0" w:space="0" w:color="auto"/>
                                                                                              </w:divBdr>
                                                                                              <w:divsChild>
                                                                                                <w:div w:id="1134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284143">
      <w:bodyDiv w:val="1"/>
      <w:marLeft w:val="0"/>
      <w:marRight w:val="0"/>
      <w:marTop w:val="0"/>
      <w:marBottom w:val="0"/>
      <w:divBdr>
        <w:top w:val="none" w:sz="0" w:space="0" w:color="auto"/>
        <w:left w:val="none" w:sz="0" w:space="0" w:color="auto"/>
        <w:bottom w:val="none" w:sz="0" w:space="0" w:color="auto"/>
        <w:right w:val="none" w:sz="0" w:space="0" w:color="auto"/>
      </w:divBdr>
    </w:div>
    <w:div w:id="1794592739">
      <w:bodyDiv w:val="1"/>
      <w:marLeft w:val="0"/>
      <w:marRight w:val="0"/>
      <w:marTop w:val="0"/>
      <w:marBottom w:val="0"/>
      <w:divBdr>
        <w:top w:val="none" w:sz="0" w:space="0" w:color="auto"/>
        <w:left w:val="none" w:sz="0" w:space="0" w:color="auto"/>
        <w:bottom w:val="none" w:sz="0" w:space="0" w:color="auto"/>
        <w:right w:val="none" w:sz="0" w:space="0" w:color="auto"/>
      </w:divBdr>
    </w:div>
    <w:div w:id="1796219270">
      <w:bodyDiv w:val="1"/>
      <w:marLeft w:val="0"/>
      <w:marRight w:val="0"/>
      <w:marTop w:val="0"/>
      <w:marBottom w:val="0"/>
      <w:divBdr>
        <w:top w:val="none" w:sz="0" w:space="0" w:color="auto"/>
        <w:left w:val="none" w:sz="0" w:space="0" w:color="auto"/>
        <w:bottom w:val="none" w:sz="0" w:space="0" w:color="auto"/>
        <w:right w:val="none" w:sz="0" w:space="0" w:color="auto"/>
      </w:divBdr>
      <w:divsChild>
        <w:div w:id="1342658845">
          <w:marLeft w:val="0"/>
          <w:marRight w:val="0"/>
          <w:marTop w:val="0"/>
          <w:marBottom w:val="150"/>
          <w:divBdr>
            <w:top w:val="none" w:sz="0" w:space="0" w:color="auto"/>
            <w:left w:val="none" w:sz="0" w:space="0" w:color="auto"/>
            <w:bottom w:val="none" w:sz="0" w:space="0" w:color="auto"/>
            <w:right w:val="none" w:sz="0" w:space="0" w:color="auto"/>
          </w:divBdr>
          <w:divsChild>
            <w:div w:id="756949330">
              <w:marLeft w:val="360"/>
              <w:marRight w:val="0"/>
              <w:marTop w:val="0"/>
              <w:marBottom w:val="0"/>
              <w:divBdr>
                <w:top w:val="none" w:sz="0" w:space="0" w:color="auto"/>
                <w:left w:val="none" w:sz="0" w:space="0" w:color="auto"/>
                <w:bottom w:val="none" w:sz="0" w:space="0" w:color="auto"/>
                <w:right w:val="none" w:sz="0" w:space="0" w:color="auto"/>
              </w:divBdr>
              <w:divsChild>
                <w:div w:id="60297829">
                  <w:marLeft w:val="360"/>
                  <w:marRight w:val="0"/>
                  <w:marTop w:val="0"/>
                  <w:marBottom w:val="0"/>
                  <w:divBdr>
                    <w:top w:val="none" w:sz="0" w:space="0" w:color="auto"/>
                    <w:left w:val="none" w:sz="0" w:space="0" w:color="auto"/>
                    <w:bottom w:val="none" w:sz="0" w:space="0" w:color="auto"/>
                    <w:right w:val="none" w:sz="0" w:space="0" w:color="auto"/>
                  </w:divBdr>
                </w:div>
                <w:div w:id="777407716">
                  <w:marLeft w:val="360"/>
                  <w:marRight w:val="0"/>
                  <w:marTop w:val="0"/>
                  <w:marBottom w:val="0"/>
                  <w:divBdr>
                    <w:top w:val="none" w:sz="0" w:space="0" w:color="auto"/>
                    <w:left w:val="none" w:sz="0" w:space="0" w:color="auto"/>
                    <w:bottom w:val="none" w:sz="0" w:space="0" w:color="auto"/>
                    <w:right w:val="none" w:sz="0" w:space="0" w:color="auto"/>
                  </w:divBdr>
                  <w:divsChild>
                    <w:div w:id="454982642">
                      <w:marLeft w:val="360"/>
                      <w:marRight w:val="0"/>
                      <w:marTop w:val="0"/>
                      <w:marBottom w:val="0"/>
                      <w:divBdr>
                        <w:top w:val="none" w:sz="0" w:space="0" w:color="auto"/>
                        <w:left w:val="none" w:sz="0" w:space="0" w:color="auto"/>
                        <w:bottom w:val="none" w:sz="0" w:space="0" w:color="auto"/>
                        <w:right w:val="none" w:sz="0" w:space="0" w:color="auto"/>
                      </w:divBdr>
                    </w:div>
                  </w:divsChild>
                </w:div>
                <w:div w:id="151895794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572675">
      <w:bodyDiv w:val="1"/>
      <w:marLeft w:val="0"/>
      <w:marRight w:val="0"/>
      <w:marTop w:val="0"/>
      <w:marBottom w:val="0"/>
      <w:divBdr>
        <w:top w:val="none" w:sz="0" w:space="0" w:color="auto"/>
        <w:left w:val="none" w:sz="0" w:space="0" w:color="auto"/>
        <w:bottom w:val="none" w:sz="0" w:space="0" w:color="auto"/>
        <w:right w:val="none" w:sz="0" w:space="0" w:color="auto"/>
      </w:divBdr>
    </w:div>
    <w:div w:id="1804350301">
      <w:bodyDiv w:val="1"/>
      <w:marLeft w:val="0"/>
      <w:marRight w:val="0"/>
      <w:marTop w:val="0"/>
      <w:marBottom w:val="0"/>
      <w:divBdr>
        <w:top w:val="none" w:sz="0" w:space="0" w:color="auto"/>
        <w:left w:val="none" w:sz="0" w:space="0" w:color="auto"/>
        <w:bottom w:val="none" w:sz="0" w:space="0" w:color="auto"/>
        <w:right w:val="none" w:sz="0" w:space="0" w:color="auto"/>
      </w:divBdr>
    </w:div>
    <w:div w:id="1808474884">
      <w:bodyDiv w:val="1"/>
      <w:marLeft w:val="0"/>
      <w:marRight w:val="0"/>
      <w:marTop w:val="0"/>
      <w:marBottom w:val="0"/>
      <w:divBdr>
        <w:top w:val="none" w:sz="0" w:space="0" w:color="auto"/>
        <w:left w:val="none" w:sz="0" w:space="0" w:color="auto"/>
        <w:bottom w:val="none" w:sz="0" w:space="0" w:color="auto"/>
        <w:right w:val="none" w:sz="0" w:space="0" w:color="auto"/>
      </w:divBdr>
      <w:divsChild>
        <w:div w:id="492262475">
          <w:marLeft w:val="0"/>
          <w:marRight w:val="0"/>
          <w:marTop w:val="0"/>
          <w:marBottom w:val="0"/>
          <w:divBdr>
            <w:top w:val="none" w:sz="0" w:space="0" w:color="auto"/>
            <w:left w:val="none" w:sz="0" w:space="0" w:color="auto"/>
            <w:bottom w:val="none" w:sz="0" w:space="0" w:color="auto"/>
            <w:right w:val="none" w:sz="0" w:space="0" w:color="auto"/>
          </w:divBdr>
          <w:divsChild>
            <w:div w:id="47706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26683">
      <w:bodyDiv w:val="1"/>
      <w:marLeft w:val="0"/>
      <w:marRight w:val="0"/>
      <w:marTop w:val="0"/>
      <w:marBottom w:val="0"/>
      <w:divBdr>
        <w:top w:val="none" w:sz="0" w:space="0" w:color="auto"/>
        <w:left w:val="none" w:sz="0" w:space="0" w:color="auto"/>
        <w:bottom w:val="none" w:sz="0" w:space="0" w:color="auto"/>
        <w:right w:val="none" w:sz="0" w:space="0" w:color="auto"/>
      </w:divBdr>
    </w:div>
    <w:div w:id="1891109434">
      <w:bodyDiv w:val="1"/>
      <w:marLeft w:val="0"/>
      <w:marRight w:val="0"/>
      <w:marTop w:val="0"/>
      <w:marBottom w:val="0"/>
      <w:divBdr>
        <w:top w:val="none" w:sz="0" w:space="0" w:color="auto"/>
        <w:left w:val="none" w:sz="0" w:space="0" w:color="auto"/>
        <w:bottom w:val="none" w:sz="0" w:space="0" w:color="auto"/>
        <w:right w:val="none" w:sz="0" w:space="0" w:color="auto"/>
      </w:divBdr>
    </w:div>
    <w:div w:id="1900246602">
      <w:bodyDiv w:val="1"/>
      <w:marLeft w:val="0"/>
      <w:marRight w:val="0"/>
      <w:marTop w:val="0"/>
      <w:marBottom w:val="0"/>
      <w:divBdr>
        <w:top w:val="none" w:sz="0" w:space="0" w:color="auto"/>
        <w:left w:val="none" w:sz="0" w:space="0" w:color="auto"/>
        <w:bottom w:val="none" w:sz="0" w:space="0" w:color="auto"/>
        <w:right w:val="none" w:sz="0" w:space="0" w:color="auto"/>
      </w:divBdr>
    </w:div>
    <w:div w:id="1933051618">
      <w:bodyDiv w:val="1"/>
      <w:marLeft w:val="0"/>
      <w:marRight w:val="0"/>
      <w:marTop w:val="0"/>
      <w:marBottom w:val="0"/>
      <w:divBdr>
        <w:top w:val="none" w:sz="0" w:space="0" w:color="auto"/>
        <w:left w:val="none" w:sz="0" w:space="0" w:color="auto"/>
        <w:bottom w:val="none" w:sz="0" w:space="0" w:color="auto"/>
        <w:right w:val="none" w:sz="0" w:space="0" w:color="auto"/>
      </w:divBdr>
    </w:div>
    <w:div w:id="1939285902">
      <w:bodyDiv w:val="1"/>
      <w:marLeft w:val="0"/>
      <w:marRight w:val="0"/>
      <w:marTop w:val="0"/>
      <w:marBottom w:val="0"/>
      <w:divBdr>
        <w:top w:val="none" w:sz="0" w:space="0" w:color="auto"/>
        <w:left w:val="none" w:sz="0" w:space="0" w:color="auto"/>
        <w:bottom w:val="none" w:sz="0" w:space="0" w:color="auto"/>
        <w:right w:val="none" w:sz="0" w:space="0" w:color="auto"/>
      </w:divBdr>
      <w:divsChild>
        <w:div w:id="1679237222">
          <w:marLeft w:val="0"/>
          <w:marRight w:val="0"/>
          <w:marTop w:val="0"/>
          <w:marBottom w:val="0"/>
          <w:divBdr>
            <w:top w:val="none" w:sz="0" w:space="0" w:color="auto"/>
            <w:left w:val="none" w:sz="0" w:space="0" w:color="auto"/>
            <w:bottom w:val="none" w:sz="0" w:space="0" w:color="auto"/>
            <w:right w:val="none" w:sz="0" w:space="0" w:color="auto"/>
          </w:divBdr>
          <w:divsChild>
            <w:div w:id="87342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184214">
      <w:bodyDiv w:val="1"/>
      <w:marLeft w:val="0"/>
      <w:marRight w:val="0"/>
      <w:marTop w:val="0"/>
      <w:marBottom w:val="0"/>
      <w:divBdr>
        <w:top w:val="none" w:sz="0" w:space="0" w:color="auto"/>
        <w:left w:val="none" w:sz="0" w:space="0" w:color="auto"/>
        <w:bottom w:val="none" w:sz="0" w:space="0" w:color="auto"/>
        <w:right w:val="none" w:sz="0" w:space="0" w:color="auto"/>
      </w:divBdr>
    </w:div>
    <w:div w:id="1952009629">
      <w:bodyDiv w:val="1"/>
      <w:marLeft w:val="0"/>
      <w:marRight w:val="0"/>
      <w:marTop w:val="0"/>
      <w:marBottom w:val="0"/>
      <w:divBdr>
        <w:top w:val="none" w:sz="0" w:space="0" w:color="auto"/>
        <w:left w:val="none" w:sz="0" w:space="0" w:color="auto"/>
        <w:bottom w:val="none" w:sz="0" w:space="0" w:color="auto"/>
        <w:right w:val="none" w:sz="0" w:space="0" w:color="auto"/>
      </w:divBdr>
      <w:divsChild>
        <w:div w:id="667289670">
          <w:marLeft w:val="0"/>
          <w:marRight w:val="0"/>
          <w:marTop w:val="0"/>
          <w:marBottom w:val="0"/>
          <w:divBdr>
            <w:top w:val="none" w:sz="0" w:space="0" w:color="auto"/>
            <w:left w:val="none" w:sz="0" w:space="0" w:color="auto"/>
            <w:bottom w:val="none" w:sz="0" w:space="0" w:color="auto"/>
            <w:right w:val="none" w:sz="0" w:space="0" w:color="auto"/>
          </w:divBdr>
          <w:divsChild>
            <w:div w:id="8359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006345">
      <w:bodyDiv w:val="1"/>
      <w:marLeft w:val="0"/>
      <w:marRight w:val="0"/>
      <w:marTop w:val="0"/>
      <w:marBottom w:val="0"/>
      <w:divBdr>
        <w:top w:val="none" w:sz="0" w:space="0" w:color="auto"/>
        <w:left w:val="none" w:sz="0" w:space="0" w:color="auto"/>
        <w:bottom w:val="none" w:sz="0" w:space="0" w:color="auto"/>
        <w:right w:val="none" w:sz="0" w:space="0" w:color="auto"/>
      </w:divBdr>
    </w:div>
    <w:div w:id="1987196086">
      <w:bodyDiv w:val="1"/>
      <w:marLeft w:val="0"/>
      <w:marRight w:val="0"/>
      <w:marTop w:val="0"/>
      <w:marBottom w:val="0"/>
      <w:divBdr>
        <w:top w:val="none" w:sz="0" w:space="0" w:color="auto"/>
        <w:left w:val="none" w:sz="0" w:space="0" w:color="auto"/>
        <w:bottom w:val="none" w:sz="0" w:space="0" w:color="auto"/>
        <w:right w:val="none" w:sz="0" w:space="0" w:color="auto"/>
      </w:divBdr>
    </w:div>
    <w:div w:id="2001107525">
      <w:bodyDiv w:val="1"/>
      <w:marLeft w:val="0"/>
      <w:marRight w:val="0"/>
      <w:marTop w:val="0"/>
      <w:marBottom w:val="0"/>
      <w:divBdr>
        <w:top w:val="none" w:sz="0" w:space="0" w:color="auto"/>
        <w:left w:val="none" w:sz="0" w:space="0" w:color="auto"/>
        <w:bottom w:val="none" w:sz="0" w:space="0" w:color="auto"/>
        <w:right w:val="none" w:sz="0" w:space="0" w:color="auto"/>
      </w:divBdr>
    </w:div>
    <w:div w:id="2010134862">
      <w:bodyDiv w:val="1"/>
      <w:marLeft w:val="0"/>
      <w:marRight w:val="0"/>
      <w:marTop w:val="0"/>
      <w:marBottom w:val="0"/>
      <w:divBdr>
        <w:top w:val="none" w:sz="0" w:space="0" w:color="auto"/>
        <w:left w:val="none" w:sz="0" w:space="0" w:color="auto"/>
        <w:bottom w:val="none" w:sz="0" w:space="0" w:color="auto"/>
        <w:right w:val="none" w:sz="0" w:space="0" w:color="auto"/>
      </w:divBdr>
    </w:div>
    <w:div w:id="2034837355">
      <w:bodyDiv w:val="1"/>
      <w:marLeft w:val="0"/>
      <w:marRight w:val="0"/>
      <w:marTop w:val="0"/>
      <w:marBottom w:val="0"/>
      <w:divBdr>
        <w:top w:val="none" w:sz="0" w:space="0" w:color="auto"/>
        <w:left w:val="none" w:sz="0" w:space="0" w:color="auto"/>
        <w:bottom w:val="none" w:sz="0" w:space="0" w:color="auto"/>
        <w:right w:val="none" w:sz="0" w:space="0" w:color="auto"/>
      </w:divBdr>
    </w:div>
    <w:div w:id="2041588090">
      <w:bodyDiv w:val="1"/>
      <w:marLeft w:val="0"/>
      <w:marRight w:val="0"/>
      <w:marTop w:val="0"/>
      <w:marBottom w:val="0"/>
      <w:divBdr>
        <w:top w:val="none" w:sz="0" w:space="0" w:color="auto"/>
        <w:left w:val="none" w:sz="0" w:space="0" w:color="auto"/>
        <w:bottom w:val="none" w:sz="0" w:space="0" w:color="auto"/>
        <w:right w:val="none" w:sz="0" w:space="0" w:color="auto"/>
      </w:divBdr>
    </w:div>
    <w:div w:id="2051149686">
      <w:bodyDiv w:val="1"/>
      <w:marLeft w:val="0"/>
      <w:marRight w:val="0"/>
      <w:marTop w:val="0"/>
      <w:marBottom w:val="0"/>
      <w:divBdr>
        <w:top w:val="none" w:sz="0" w:space="0" w:color="auto"/>
        <w:left w:val="none" w:sz="0" w:space="0" w:color="auto"/>
        <w:bottom w:val="none" w:sz="0" w:space="0" w:color="auto"/>
        <w:right w:val="none" w:sz="0" w:space="0" w:color="auto"/>
      </w:divBdr>
    </w:div>
    <w:div w:id="2059862443">
      <w:bodyDiv w:val="1"/>
      <w:marLeft w:val="0"/>
      <w:marRight w:val="0"/>
      <w:marTop w:val="0"/>
      <w:marBottom w:val="0"/>
      <w:divBdr>
        <w:top w:val="none" w:sz="0" w:space="0" w:color="auto"/>
        <w:left w:val="none" w:sz="0" w:space="0" w:color="auto"/>
        <w:bottom w:val="none" w:sz="0" w:space="0" w:color="auto"/>
        <w:right w:val="none" w:sz="0" w:space="0" w:color="auto"/>
      </w:divBdr>
      <w:divsChild>
        <w:div w:id="1322199907">
          <w:marLeft w:val="0"/>
          <w:marRight w:val="0"/>
          <w:marTop w:val="0"/>
          <w:marBottom w:val="0"/>
          <w:divBdr>
            <w:top w:val="none" w:sz="0" w:space="0" w:color="auto"/>
            <w:left w:val="none" w:sz="0" w:space="0" w:color="auto"/>
            <w:bottom w:val="none" w:sz="0" w:space="0" w:color="auto"/>
            <w:right w:val="none" w:sz="0" w:space="0" w:color="auto"/>
          </w:divBdr>
        </w:div>
      </w:divsChild>
    </w:div>
    <w:div w:id="2064517164">
      <w:bodyDiv w:val="1"/>
      <w:marLeft w:val="75"/>
      <w:marRight w:val="75"/>
      <w:marTop w:val="150"/>
      <w:marBottom w:val="0"/>
      <w:divBdr>
        <w:top w:val="none" w:sz="0" w:space="0" w:color="auto"/>
        <w:left w:val="none" w:sz="0" w:space="0" w:color="auto"/>
        <w:bottom w:val="none" w:sz="0" w:space="0" w:color="auto"/>
        <w:right w:val="none" w:sz="0" w:space="0" w:color="auto"/>
      </w:divBdr>
      <w:divsChild>
        <w:div w:id="1101683508">
          <w:marLeft w:val="360"/>
          <w:marRight w:val="0"/>
          <w:marTop w:val="0"/>
          <w:marBottom w:val="0"/>
          <w:divBdr>
            <w:top w:val="none" w:sz="0" w:space="0" w:color="auto"/>
            <w:left w:val="none" w:sz="0" w:space="0" w:color="auto"/>
            <w:bottom w:val="none" w:sz="0" w:space="0" w:color="auto"/>
            <w:right w:val="none" w:sz="0" w:space="0" w:color="auto"/>
          </w:divBdr>
        </w:div>
      </w:divsChild>
    </w:div>
    <w:div w:id="2067486930">
      <w:bodyDiv w:val="1"/>
      <w:marLeft w:val="0"/>
      <w:marRight w:val="0"/>
      <w:marTop w:val="0"/>
      <w:marBottom w:val="0"/>
      <w:divBdr>
        <w:top w:val="none" w:sz="0" w:space="0" w:color="auto"/>
        <w:left w:val="none" w:sz="0" w:space="0" w:color="auto"/>
        <w:bottom w:val="none" w:sz="0" w:space="0" w:color="auto"/>
        <w:right w:val="none" w:sz="0" w:space="0" w:color="auto"/>
      </w:divBdr>
    </w:div>
    <w:div w:id="2074041362">
      <w:bodyDiv w:val="1"/>
      <w:marLeft w:val="0"/>
      <w:marRight w:val="0"/>
      <w:marTop w:val="0"/>
      <w:marBottom w:val="0"/>
      <w:divBdr>
        <w:top w:val="none" w:sz="0" w:space="0" w:color="auto"/>
        <w:left w:val="none" w:sz="0" w:space="0" w:color="auto"/>
        <w:bottom w:val="none" w:sz="0" w:space="0" w:color="auto"/>
        <w:right w:val="none" w:sz="0" w:space="0" w:color="auto"/>
      </w:divBdr>
    </w:div>
    <w:div w:id="2086486333">
      <w:bodyDiv w:val="1"/>
      <w:marLeft w:val="0"/>
      <w:marRight w:val="0"/>
      <w:marTop w:val="0"/>
      <w:marBottom w:val="0"/>
      <w:divBdr>
        <w:top w:val="none" w:sz="0" w:space="0" w:color="auto"/>
        <w:left w:val="none" w:sz="0" w:space="0" w:color="auto"/>
        <w:bottom w:val="none" w:sz="0" w:space="0" w:color="auto"/>
        <w:right w:val="none" w:sz="0" w:space="0" w:color="auto"/>
      </w:divBdr>
      <w:divsChild>
        <w:div w:id="43992742">
          <w:marLeft w:val="0"/>
          <w:marRight w:val="0"/>
          <w:marTop w:val="0"/>
          <w:marBottom w:val="0"/>
          <w:divBdr>
            <w:top w:val="none" w:sz="0" w:space="0" w:color="auto"/>
            <w:left w:val="none" w:sz="0" w:space="0" w:color="auto"/>
            <w:bottom w:val="none" w:sz="0" w:space="0" w:color="auto"/>
            <w:right w:val="none" w:sz="0" w:space="0" w:color="auto"/>
          </w:divBdr>
          <w:divsChild>
            <w:div w:id="11733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1795">
      <w:bodyDiv w:val="1"/>
      <w:marLeft w:val="0"/>
      <w:marRight w:val="0"/>
      <w:marTop w:val="0"/>
      <w:marBottom w:val="0"/>
      <w:divBdr>
        <w:top w:val="none" w:sz="0" w:space="0" w:color="auto"/>
        <w:left w:val="none" w:sz="0" w:space="0" w:color="auto"/>
        <w:bottom w:val="none" w:sz="0" w:space="0" w:color="auto"/>
        <w:right w:val="none" w:sz="0" w:space="0" w:color="auto"/>
      </w:divBdr>
      <w:divsChild>
        <w:div w:id="1386684878">
          <w:marLeft w:val="0"/>
          <w:marRight w:val="0"/>
          <w:marTop w:val="0"/>
          <w:marBottom w:val="0"/>
          <w:divBdr>
            <w:top w:val="none" w:sz="0" w:space="0" w:color="auto"/>
            <w:left w:val="none" w:sz="0" w:space="0" w:color="auto"/>
            <w:bottom w:val="none" w:sz="0" w:space="0" w:color="auto"/>
            <w:right w:val="none" w:sz="0" w:space="0" w:color="auto"/>
          </w:divBdr>
          <w:divsChild>
            <w:div w:id="1273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936292">
      <w:bodyDiv w:val="1"/>
      <w:marLeft w:val="0"/>
      <w:marRight w:val="0"/>
      <w:marTop w:val="0"/>
      <w:marBottom w:val="0"/>
      <w:divBdr>
        <w:top w:val="none" w:sz="0" w:space="0" w:color="auto"/>
        <w:left w:val="none" w:sz="0" w:space="0" w:color="auto"/>
        <w:bottom w:val="none" w:sz="0" w:space="0" w:color="auto"/>
        <w:right w:val="none" w:sz="0" w:space="0" w:color="auto"/>
      </w:divBdr>
    </w:div>
    <w:div w:id="2099599968">
      <w:bodyDiv w:val="1"/>
      <w:marLeft w:val="0"/>
      <w:marRight w:val="0"/>
      <w:marTop w:val="0"/>
      <w:marBottom w:val="0"/>
      <w:divBdr>
        <w:top w:val="none" w:sz="0" w:space="0" w:color="auto"/>
        <w:left w:val="none" w:sz="0" w:space="0" w:color="auto"/>
        <w:bottom w:val="none" w:sz="0" w:space="0" w:color="auto"/>
        <w:right w:val="none" w:sz="0" w:space="0" w:color="auto"/>
      </w:divBdr>
      <w:divsChild>
        <w:div w:id="1640184486">
          <w:marLeft w:val="0"/>
          <w:marRight w:val="0"/>
          <w:marTop w:val="0"/>
          <w:marBottom w:val="0"/>
          <w:divBdr>
            <w:top w:val="none" w:sz="0" w:space="0" w:color="auto"/>
            <w:left w:val="none" w:sz="0" w:space="0" w:color="auto"/>
            <w:bottom w:val="none" w:sz="0" w:space="0" w:color="auto"/>
            <w:right w:val="none" w:sz="0" w:space="0" w:color="auto"/>
          </w:divBdr>
        </w:div>
      </w:divsChild>
    </w:div>
    <w:div w:id="2107189408">
      <w:bodyDiv w:val="1"/>
      <w:marLeft w:val="0"/>
      <w:marRight w:val="0"/>
      <w:marTop w:val="0"/>
      <w:marBottom w:val="0"/>
      <w:divBdr>
        <w:top w:val="none" w:sz="0" w:space="0" w:color="auto"/>
        <w:left w:val="none" w:sz="0" w:space="0" w:color="auto"/>
        <w:bottom w:val="none" w:sz="0" w:space="0" w:color="auto"/>
        <w:right w:val="none" w:sz="0" w:space="0" w:color="auto"/>
      </w:divBdr>
    </w:div>
    <w:div w:id="2109346156">
      <w:bodyDiv w:val="1"/>
      <w:marLeft w:val="0"/>
      <w:marRight w:val="0"/>
      <w:marTop w:val="0"/>
      <w:marBottom w:val="0"/>
      <w:divBdr>
        <w:top w:val="none" w:sz="0" w:space="0" w:color="auto"/>
        <w:left w:val="none" w:sz="0" w:space="0" w:color="auto"/>
        <w:bottom w:val="none" w:sz="0" w:space="0" w:color="auto"/>
        <w:right w:val="none" w:sz="0" w:space="0" w:color="auto"/>
      </w:divBdr>
      <w:divsChild>
        <w:div w:id="725880866">
          <w:marLeft w:val="0"/>
          <w:marRight w:val="0"/>
          <w:marTop w:val="0"/>
          <w:marBottom w:val="0"/>
          <w:divBdr>
            <w:top w:val="none" w:sz="0" w:space="0" w:color="auto"/>
            <w:left w:val="none" w:sz="0" w:space="0" w:color="auto"/>
            <w:bottom w:val="none" w:sz="0" w:space="0" w:color="auto"/>
            <w:right w:val="none" w:sz="0" w:space="0" w:color="auto"/>
          </w:divBdr>
          <w:divsChild>
            <w:div w:id="98358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39373">
      <w:bodyDiv w:val="1"/>
      <w:marLeft w:val="0"/>
      <w:marRight w:val="0"/>
      <w:marTop w:val="0"/>
      <w:marBottom w:val="0"/>
      <w:divBdr>
        <w:top w:val="none" w:sz="0" w:space="0" w:color="auto"/>
        <w:left w:val="none" w:sz="0" w:space="0" w:color="auto"/>
        <w:bottom w:val="none" w:sz="0" w:space="0" w:color="auto"/>
        <w:right w:val="none" w:sz="0" w:space="0" w:color="auto"/>
      </w:divBdr>
    </w:div>
    <w:div w:id="2130315319">
      <w:bodyDiv w:val="1"/>
      <w:marLeft w:val="0"/>
      <w:marRight w:val="0"/>
      <w:marTop w:val="0"/>
      <w:marBottom w:val="0"/>
      <w:divBdr>
        <w:top w:val="none" w:sz="0" w:space="0" w:color="auto"/>
        <w:left w:val="none" w:sz="0" w:space="0" w:color="auto"/>
        <w:bottom w:val="none" w:sz="0" w:space="0" w:color="auto"/>
        <w:right w:val="none" w:sz="0" w:space="0" w:color="auto"/>
      </w:divBdr>
    </w:div>
    <w:div w:id="2131194484">
      <w:bodyDiv w:val="1"/>
      <w:marLeft w:val="0"/>
      <w:marRight w:val="0"/>
      <w:marTop w:val="0"/>
      <w:marBottom w:val="0"/>
      <w:divBdr>
        <w:top w:val="none" w:sz="0" w:space="0" w:color="auto"/>
        <w:left w:val="none" w:sz="0" w:space="0" w:color="auto"/>
        <w:bottom w:val="none" w:sz="0" w:space="0" w:color="auto"/>
        <w:right w:val="none" w:sz="0" w:space="0" w:color="auto"/>
      </w:divBdr>
    </w:div>
    <w:div w:id="2132162771">
      <w:bodyDiv w:val="1"/>
      <w:marLeft w:val="0"/>
      <w:marRight w:val="0"/>
      <w:marTop w:val="0"/>
      <w:marBottom w:val="0"/>
      <w:divBdr>
        <w:top w:val="none" w:sz="0" w:space="0" w:color="auto"/>
        <w:left w:val="none" w:sz="0" w:space="0" w:color="auto"/>
        <w:bottom w:val="none" w:sz="0" w:space="0" w:color="auto"/>
        <w:right w:val="none" w:sz="0" w:space="0" w:color="auto"/>
      </w:divBdr>
      <w:divsChild>
        <w:div w:id="1802259168">
          <w:marLeft w:val="0"/>
          <w:marRight w:val="0"/>
          <w:marTop w:val="0"/>
          <w:marBottom w:val="0"/>
          <w:divBdr>
            <w:top w:val="none" w:sz="0" w:space="0" w:color="auto"/>
            <w:left w:val="none" w:sz="0" w:space="0" w:color="auto"/>
            <w:bottom w:val="none" w:sz="0" w:space="0" w:color="auto"/>
            <w:right w:val="none" w:sz="0" w:space="0" w:color="auto"/>
          </w:divBdr>
          <w:divsChild>
            <w:div w:id="196554087">
              <w:marLeft w:val="0"/>
              <w:marRight w:val="0"/>
              <w:marTop w:val="0"/>
              <w:marBottom w:val="0"/>
              <w:divBdr>
                <w:top w:val="none" w:sz="0" w:space="0" w:color="auto"/>
                <w:left w:val="none" w:sz="0" w:space="0" w:color="auto"/>
                <w:bottom w:val="none" w:sz="0" w:space="0" w:color="auto"/>
                <w:right w:val="none" w:sz="0" w:space="0" w:color="auto"/>
              </w:divBdr>
              <w:divsChild>
                <w:div w:id="147138750">
                  <w:marLeft w:val="0"/>
                  <w:marRight w:val="0"/>
                  <w:marTop w:val="150"/>
                  <w:marBottom w:val="0"/>
                  <w:divBdr>
                    <w:top w:val="none" w:sz="0" w:space="0" w:color="auto"/>
                    <w:left w:val="none" w:sz="0" w:space="0" w:color="auto"/>
                    <w:bottom w:val="none" w:sz="0" w:space="0" w:color="auto"/>
                    <w:right w:val="none" w:sz="0" w:space="0" w:color="auto"/>
                  </w:divBdr>
                  <w:divsChild>
                    <w:div w:id="873999166">
                      <w:marLeft w:val="0"/>
                      <w:marRight w:val="0"/>
                      <w:marTop w:val="0"/>
                      <w:marBottom w:val="0"/>
                      <w:divBdr>
                        <w:top w:val="none" w:sz="0" w:space="0" w:color="auto"/>
                        <w:left w:val="none" w:sz="0" w:space="0" w:color="auto"/>
                        <w:bottom w:val="none" w:sz="0" w:space="0" w:color="auto"/>
                        <w:right w:val="none" w:sz="0" w:space="0" w:color="auto"/>
                      </w:divBdr>
                      <w:divsChild>
                        <w:div w:id="651132571">
                          <w:marLeft w:val="0"/>
                          <w:marRight w:val="0"/>
                          <w:marTop w:val="0"/>
                          <w:marBottom w:val="0"/>
                          <w:divBdr>
                            <w:top w:val="none" w:sz="0" w:space="0" w:color="auto"/>
                            <w:left w:val="none" w:sz="0" w:space="0" w:color="auto"/>
                            <w:bottom w:val="none" w:sz="0" w:space="0" w:color="auto"/>
                            <w:right w:val="none" w:sz="0" w:space="0" w:color="auto"/>
                          </w:divBdr>
                          <w:divsChild>
                            <w:div w:id="1295988604">
                              <w:marLeft w:val="0"/>
                              <w:marRight w:val="0"/>
                              <w:marTop w:val="0"/>
                              <w:marBottom w:val="0"/>
                              <w:divBdr>
                                <w:top w:val="none" w:sz="0" w:space="0" w:color="auto"/>
                                <w:left w:val="none" w:sz="0" w:space="0" w:color="auto"/>
                                <w:bottom w:val="none" w:sz="0" w:space="0" w:color="auto"/>
                                <w:right w:val="none" w:sz="0" w:space="0" w:color="auto"/>
                              </w:divBdr>
                              <w:divsChild>
                                <w:div w:id="1301380417">
                                  <w:marLeft w:val="0"/>
                                  <w:marRight w:val="0"/>
                                  <w:marTop w:val="0"/>
                                  <w:marBottom w:val="0"/>
                                  <w:divBdr>
                                    <w:top w:val="none" w:sz="0" w:space="0" w:color="auto"/>
                                    <w:left w:val="none" w:sz="0" w:space="0" w:color="auto"/>
                                    <w:bottom w:val="none" w:sz="0" w:space="0" w:color="auto"/>
                                    <w:right w:val="none" w:sz="0" w:space="0" w:color="auto"/>
                                  </w:divBdr>
                                  <w:divsChild>
                                    <w:div w:id="562954339">
                                      <w:marLeft w:val="0"/>
                                      <w:marRight w:val="0"/>
                                      <w:marTop w:val="0"/>
                                      <w:marBottom w:val="0"/>
                                      <w:divBdr>
                                        <w:top w:val="single" w:sz="36" w:space="0" w:color="AEC782"/>
                                        <w:left w:val="none" w:sz="0" w:space="0" w:color="auto"/>
                                        <w:bottom w:val="none" w:sz="0" w:space="0" w:color="auto"/>
                                        <w:right w:val="none" w:sz="0" w:space="0" w:color="auto"/>
                                      </w:divBdr>
                                      <w:divsChild>
                                        <w:div w:id="672882218">
                                          <w:marLeft w:val="0"/>
                                          <w:marRight w:val="0"/>
                                          <w:marTop w:val="0"/>
                                          <w:marBottom w:val="0"/>
                                          <w:divBdr>
                                            <w:top w:val="none" w:sz="0" w:space="0" w:color="auto"/>
                                            <w:left w:val="none" w:sz="0" w:space="0" w:color="auto"/>
                                            <w:bottom w:val="none" w:sz="0" w:space="0" w:color="auto"/>
                                            <w:right w:val="none" w:sz="0" w:space="0" w:color="auto"/>
                                          </w:divBdr>
                                          <w:divsChild>
                                            <w:div w:id="1651517387">
                                              <w:marLeft w:val="0"/>
                                              <w:marRight w:val="0"/>
                                              <w:marTop w:val="0"/>
                                              <w:marBottom w:val="0"/>
                                              <w:divBdr>
                                                <w:top w:val="none" w:sz="0" w:space="0" w:color="auto"/>
                                                <w:left w:val="none" w:sz="0" w:space="0" w:color="auto"/>
                                                <w:bottom w:val="none" w:sz="0" w:space="0" w:color="auto"/>
                                                <w:right w:val="none" w:sz="0" w:space="0" w:color="auto"/>
                                              </w:divBdr>
                                              <w:divsChild>
                                                <w:div w:id="1465805323">
                                                  <w:marLeft w:val="0"/>
                                                  <w:marRight w:val="0"/>
                                                  <w:marTop w:val="0"/>
                                                  <w:marBottom w:val="0"/>
                                                  <w:divBdr>
                                                    <w:top w:val="none" w:sz="0" w:space="0" w:color="auto"/>
                                                    <w:left w:val="none" w:sz="0" w:space="0" w:color="auto"/>
                                                    <w:bottom w:val="none" w:sz="0" w:space="0" w:color="auto"/>
                                                    <w:right w:val="none" w:sz="0" w:space="0" w:color="auto"/>
                                                  </w:divBdr>
                                                  <w:divsChild>
                                                    <w:div w:id="92946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uanet.org/guidelines/benign-prostatic-hyperplasia-(2010-reviewed-and-validity-confirmed-2014)"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79B5A45-2772-43B9-ADA1-E28BC124C649}"/>
</file>

<file path=customXml/itemProps2.xml><?xml version="1.0" encoding="utf-8"?>
<ds:datastoreItem xmlns:ds="http://schemas.openxmlformats.org/officeDocument/2006/customXml" ds:itemID="{CF105E24-E099-4D5B-BA8D-33BD740D0A2B}"/>
</file>

<file path=customXml/itemProps3.xml><?xml version="1.0" encoding="utf-8"?>
<ds:datastoreItem xmlns:ds="http://schemas.openxmlformats.org/officeDocument/2006/customXml" ds:itemID="{282E92C7-2597-4B39-9DDB-6D98FECEFA3D}"/>
</file>

<file path=customXml/itemProps4.xml><?xml version="1.0" encoding="utf-8"?>
<ds:datastoreItem xmlns:ds="http://schemas.openxmlformats.org/officeDocument/2006/customXml" ds:itemID="{6AB35491-542E-4D51-AD3F-94B6DE1502FE}"/>
</file>

<file path=docProps/app.xml><?xml version="1.0" encoding="utf-8"?>
<Properties xmlns="http://schemas.openxmlformats.org/officeDocument/2006/extended-properties" xmlns:vt="http://schemas.openxmlformats.org/officeDocument/2006/docPropsVTypes">
  <Template>Normal.dotm</Template>
  <TotalTime>2</TotalTime>
  <Pages>8</Pages>
  <Words>2278</Words>
  <Characters>12990</Characters>
  <Application>Microsoft Office Word</Application>
  <DocSecurity>4</DocSecurity>
  <Lines>108</Lines>
  <Paragraphs>30</Paragraphs>
  <ScaleCrop>false</ScaleCrop>
  <HeadingPairs>
    <vt:vector size="2" baseType="variant">
      <vt:variant>
        <vt:lpstr>Title</vt:lpstr>
      </vt:variant>
      <vt:variant>
        <vt:i4>1</vt:i4>
      </vt:variant>
    </vt:vector>
  </HeadingPairs>
  <TitlesOfParts>
    <vt:vector size="1" baseType="lpstr">
      <vt:lpstr>1234561222112222321111111111111121223</vt:lpstr>
    </vt:vector>
  </TitlesOfParts>
  <Company>AMFC</Company>
  <LinksUpToDate>false</LinksUpToDate>
  <CharactersWithSpaces>15238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1234561222112222321111111111111121223</dc:title>
  <dc:creator>pulin</dc:creator>
  <cp:lastModifiedBy>Andrassy, Sarah</cp:lastModifiedBy>
  <cp:revision>2</cp:revision>
  <cp:lastPrinted>2011-10-20T13:16:00Z</cp:lastPrinted>
  <dcterms:created xsi:type="dcterms:W3CDTF">2018-02-23T18:36:00Z</dcterms:created>
  <dcterms:modified xsi:type="dcterms:W3CDTF">2018-02-23T18:36:00Z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0x010100798C00EC0FA74743BAC639A037A54108</vt:lpwstr>
  </property>
</Properties>
</file>